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726ED" w14:textId="77777777" w:rsidR="008A4B34" w:rsidRDefault="00931A60">
      <w:pPr>
        <w:pStyle w:val="BodyText"/>
        <w:rPr>
          <w:rFonts w:ascii="Times New Roman"/>
        </w:rPr>
      </w:pPr>
      <w:r>
        <w:pict w14:anchorId="58972875">
          <v:group id="_x0000_s2068" style="position:absolute;margin-left:-.5pt;margin-top:35.8pt;width:595.6pt;height:567.95pt;z-index:-16007680;mso-position-horizontal-relative:page;mso-position-vertical-relative:page" coordorigin="-10,716" coordsize="11912,11359">
            <v:shape id="_x0000_s2075" style="position:absolute;top:3316;width:9396;height:6273" coordorigin=",3316" coordsize="9396,6273" path="m,9589r5527,l9396,3316,,3316e" filled="f" strokecolor="#8dc53e" strokeweight="1pt">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4" type="#_x0000_t75" style="position:absolute;left:5242;top:5292;width:6660;height:6280">
              <v:imagedata r:id="rId10" o:title=""/>
            </v:shape>
            <v:shape id="_x0000_s2073" style="position:absolute;left:1204;top:11026;width:3651;height:396" coordorigin="1204,11026" coordsize="3651,396" path="m4855,11026r-3402,l1204,11422r3401,l4855,11026xe" fillcolor="#004674" stroked="f">
              <v:path arrowok="t"/>
            </v:shape>
            <v:shape id="_x0000_s2072" style="position:absolute;left:2108;top:716;width:7959;height:11359" coordorigin="2109,716" coordsize="7959,11359" o:spt="100" adj="0,,0" path="m2696,1661l2109,716r,601l2509,1962r187,-301xm9759,4506r-283,l4778,12075r279,l9759,4506xm10068,2551r-283,l4855,10502r283,l10068,2551xe" fillcolor="#8dc53e" stroked="f">
              <v:stroke joinstyle="round"/>
              <v:formulas/>
              <v:path arrowok="t" o:connecttype="segments"/>
            </v:shape>
            <v:shape id="_x0000_s2071" style="position:absolute;left:2109;top:1661;width:587;height:1546" coordorigin="2109,1661" coordsize="587,1546" path="m2696,1661r-587,945l2109,3207r587,-945l2696,1661xe" fillcolor="#6c6d70" stroked="f">
              <v:path arrowok="t"/>
            </v:shape>
            <v:shape id="_x0000_s2070" style="position:absolute;left:2720;top:716;width:587;height:1246" coordorigin="2720,716" coordsize="587,1246" path="m2720,716r,601l3120,1962r187,-301l2720,716xe" fillcolor="#8dc53e" stroked="f">
              <v:path arrowok="t"/>
            </v:shape>
            <v:shape id="_x0000_s2069" style="position:absolute;left:2720;top:1661;width:587;height:1546" coordorigin="2720,1661" coordsize="587,1546" path="m3307,1661r-587,945l2720,3207r587,-945l3307,1661xe" fillcolor="#6c6d70" stroked="f">
              <v:path arrowok="t"/>
            </v:shape>
            <w10:wrap anchorx="page" anchory="page"/>
          </v:group>
        </w:pict>
      </w:r>
    </w:p>
    <w:p w14:paraId="589726EE" w14:textId="77777777" w:rsidR="008A4B34" w:rsidRDefault="008A4B34">
      <w:pPr>
        <w:pStyle w:val="BodyText"/>
        <w:rPr>
          <w:rFonts w:ascii="Times New Roman"/>
        </w:rPr>
      </w:pPr>
    </w:p>
    <w:p w14:paraId="589726EF" w14:textId="77777777" w:rsidR="008A4B34" w:rsidRDefault="008A4B34">
      <w:pPr>
        <w:pStyle w:val="BodyText"/>
        <w:rPr>
          <w:rFonts w:ascii="Times New Roman"/>
        </w:rPr>
      </w:pPr>
    </w:p>
    <w:p w14:paraId="589726F0" w14:textId="77777777" w:rsidR="008A4B34" w:rsidRDefault="008A4B34">
      <w:pPr>
        <w:pStyle w:val="BodyText"/>
        <w:rPr>
          <w:rFonts w:ascii="Times New Roman"/>
        </w:rPr>
      </w:pPr>
    </w:p>
    <w:p w14:paraId="589726F1" w14:textId="77777777" w:rsidR="008A4B34" w:rsidRDefault="008A4B34">
      <w:pPr>
        <w:pStyle w:val="BodyText"/>
        <w:rPr>
          <w:rFonts w:ascii="Times New Roman"/>
        </w:rPr>
      </w:pPr>
    </w:p>
    <w:p w14:paraId="589726F2" w14:textId="77777777" w:rsidR="008A4B34" w:rsidRDefault="008A4B34">
      <w:pPr>
        <w:pStyle w:val="BodyText"/>
        <w:rPr>
          <w:rFonts w:ascii="Times New Roman"/>
        </w:rPr>
      </w:pPr>
    </w:p>
    <w:p w14:paraId="589726F3" w14:textId="77777777" w:rsidR="008A4B34" w:rsidRDefault="008A4B34">
      <w:pPr>
        <w:pStyle w:val="BodyText"/>
        <w:rPr>
          <w:rFonts w:ascii="Times New Roman"/>
        </w:rPr>
      </w:pPr>
    </w:p>
    <w:p w14:paraId="589726F4" w14:textId="77777777" w:rsidR="008A4B34" w:rsidRDefault="008A4B34">
      <w:pPr>
        <w:pStyle w:val="BodyText"/>
        <w:rPr>
          <w:rFonts w:ascii="Times New Roman"/>
        </w:rPr>
      </w:pPr>
    </w:p>
    <w:p w14:paraId="589726F5" w14:textId="77777777" w:rsidR="008A4B34" w:rsidRDefault="008A4B34">
      <w:pPr>
        <w:pStyle w:val="BodyText"/>
        <w:rPr>
          <w:rFonts w:ascii="Times New Roman"/>
        </w:rPr>
      </w:pPr>
    </w:p>
    <w:p w14:paraId="589726F6" w14:textId="77777777" w:rsidR="008A4B34" w:rsidRDefault="008A4B34">
      <w:pPr>
        <w:pStyle w:val="BodyText"/>
        <w:rPr>
          <w:rFonts w:ascii="Times New Roman"/>
        </w:rPr>
      </w:pPr>
    </w:p>
    <w:p w14:paraId="589726F7" w14:textId="77777777" w:rsidR="008A4B34" w:rsidRDefault="008A4B34">
      <w:pPr>
        <w:pStyle w:val="BodyText"/>
        <w:rPr>
          <w:rFonts w:ascii="Times New Roman"/>
        </w:rPr>
      </w:pPr>
    </w:p>
    <w:p w14:paraId="589726F8" w14:textId="77777777" w:rsidR="008A4B34" w:rsidRDefault="00931A60" w:rsidP="004B483F">
      <w:pPr>
        <w:pStyle w:val="Title"/>
        <w:spacing w:before="222"/>
        <w:ind w:hanging="474"/>
      </w:pPr>
      <w:r>
        <w:rPr>
          <w:color w:val="57585B"/>
        </w:rPr>
        <w:t>Препоръка на Съвета относно</w:t>
      </w:r>
    </w:p>
    <w:p w14:paraId="589726F9" w14:textId="77777777" w:rsidR="008A4B34" w:rsidRDefault="00931A60" w:rsidP="004B483F">
      <w:pPr>
        <w:pStyle w:val="Title"/>
        <w:ind w:left="5780" w:hanging="4929"/>
      </w:pPr>
      <w:r>
        <w:rPr>
          <w:color w:val="57585B"/>
        </w:rPr>
        <w:t>управлението на водите</w:t>
      </w:r>
    </w:p>
    <w:p w14:paraId="589726FA" w14:textId="77777777" w:rsidR="008A4B34" w:rsidRDefault="008A4B34">
      <w:pPr>
        <w:pStyle w:val="BodyText"/>
      </w:pPr>
    </w:p>
    <w:p w14:paraId="589726FB" w14:textId="77777777" w:rsidR="008A4B34" w:rsidRDefault="008A4B34">
      <w:pPr>
        <w:pStyle w:val="BodyText"/>
      </w:pPr>
    </w:p>
    <w:p w14:paraId="589726FC" w14:textId="77777777" w:rsidR="008A4B34" w:rsidRDefault="008A4B34">
      <w:pPr>
        <w:pStyle w:val="BodyText"/>
      </w:pPr>
    </w:p>
    <w:p w14:paraId="589726FD" w14:textId="77777777" w:rsidR="008A4B34" w:rsidRDefault="008A4B34">
      <w:pPr>
        <w:pStyle w:val="BodyText"/>
      </w:pPr>
    </w:p>
    <w:p w14:paraId="589726FE" w14:textId="77777777" w:rsidR="008A4B34" w:rsidRDefault="008A4B34">
      <w:pPr>
        <w:pStyle w:val="BodyText"/>
      </w:pPr>
    </w:p>
    <w:p w14:paraId="589726FF" w14:textId="77777777" w:rsidR="008A4B34" w:rsidRDefault="008A4B34">
      <w:pPr>
        <w:pStyle w:val="BodyText"/>
      </w:pPr>
    </w:p>
    <w:p w14:paraId="58972700" w14:textId="77777777" w:rsidR="008A4B34" w:rsidRDefault="008A4B34">
      <w:pPr>
        <w:pStyle w:val="BodyText"/>
      </w:pPr>
    </w:p>
    <w:p w14:paraId="58972701" w14:textId="77777777" w:rsidR="008A4B34" w:rsidRDefault="008A4B34">
      <w:pPr>
        <w:pStyle w:val="BodyText"/>
      </w:pPr>
    </w:p>
    <w:p w14:paraId="58972702" w14:textId="77777777" w:rsidR="008A4B34" w:rsidRDefault="008A4B34">
      <w:pPr>
        <w:pStyle w:val="BodyText"/>
      </w:pPr>
    </w:p>
    <w:p w14:paraId="58972703" w14:textId="77777777" w:rsidR="008A4B34" w:rsidRDefault="008A4B34">
      <w:pPr>
        <w:pStyle w:val="BodyText"/>
      </w:pPr>
    </w:p>
    <w:p w14:paraId="58972704" w14:textId="77777777" w:rsidR="008A4B34" w:rsidRDefault="008A4B34">
      <w:pPr>
        <w:pStyle w:val="BodyText"/>
      </w:pPr>
    </w:p>
    <w:p w14:paraId="58972705" w14:textId="77777777" w:rsidR="008A4B34" w:rsidRDefault="008A4B34">
      <w:pPr>
        <w:pStyle w:val="BodyText"/>
      </w:pPr>
    </w:p>
    <w:p w14:paraId="58972706" w14:textId="77777777" w:rsidR="008A4B34" w:rsidRDefault="008A4B34">
      <w:pPr>
        <w:pStyle w:val="BodyText"/>
      </w:pPr>
    </w:p>
    <w:p w14:paraId="58972707" w14:textId="77777777" w:rsidR="008A4B34" w:rsidRDefault="008A4B34">
      <w:pPr>
        <w:pStyle w:val="BodyText"/>
      </w:pPr>
    </w:p>
    <w:p w14:paraId="58972708" w14:textId="77777777" w:rsidR="008A4B34" w:rsidRDefault="008A4B34">
      <w:pPr>
        <w:pStyle w:val="BodyText"/>
      </w:pPr>
    </w:p>
    <w:p w14:paraId="58972709" w14:textId="77777777" w:rsidR="008A4B34" w:rsidRDefault="008A4B34">
      <w:pPr>
        <w:pStyle w:val="BodyText"/>
      </w:pPr>
    </w:p>
    <w:p w14:paraId="5897270A" w14:textId="77777777" w:rsidR="008A4B34" w:rsidRDefault="008A4B34">
      <w:pPr>
        <w:pStyle w:val="BodyText"/>
      </w:pPr>
    </w:p>
    <w:p w14:paraId="5897270B" w14:textId="77777777" w:rsidR="008A4B34" w:rsidRDefault="008A4B34">
      <w:pPr>
        <w:pStyle w:val="BodyText"/>
      </w:pPr>
    </w:p>
    <w:p w14:paraId="5897270C" w14:textId="77777777" w:rsidR="008A4B34" w:rsidRDefault="008A4B34">
      <w:pPr>
        <w:pStyle w:val="BodyText"/>
      </w:pPr>
    </w:p>
    <w:p w14:paraId="5897270D" w14:textId="77777777" w:rsidR="008A4B34" w:rsidRDefault="008A4B34">
      <w:pPr>
        <w:pStyle w:val="BodyText"/>
      </w:pPr>
    </w:p>
    <w:p w14:paraId="5897270E" w14:textId="77777777" w:rsidR="008A4B34" w:rsidRDefault="008A4B34">
      <w:pPr>
        <w:pStyle w:val="BodyText"/>
      </w:pPr>
    </w:p>
    <w:p w14:paraId="5897270F" w14:textId="77777777" w:rsidR="008A4B34" w:rsidRDefault="008A4B34">
      <w:pPr>
        <w:pStyle w:val="BodyText"/>
      </w:pPr>
    </w:p>
    <w:p w14:paraId="58972710" w14:textId="77777777" w:rsidR="008A4B34" w:rsidRDefault="008A4B34">
      <w:pPr>
        <w:pStyle w:val="BodyText"/>
      </w:pPr>
    </w:p>
    <w:p w14:paraId="58972711" w14:textId="77777777" w:rsidR="008A4B34" w:rsidRDefault="008A4B34">
      <w:pPr>
        <w:pStyle w:val="BodyText"/>
      </w:pPr>
    </w:p>
    <w:p w14:paraId="58972712" w14:textId="77777777" w:rsidR="008A4B34" w:rsidRDefault="008A4B34">
      <w:pPr>
        <w:pStyle w:val="BodyText"/>
      </w:pPr>
    </w:p>
    <w:p w14:paraId="58972713" w14:textId="77777777" w:rsidR="008A4B34" w:rsidRDefault="008A4B34">
      <w:pPr>
        <w:pStyle w:val="BodyText"/>
      </w:pPr>
    </w:p>
    <w:p w14:paraId="58972714" w14:textId="77777777" w:rsidR="008A4B34" w:rsidRDefault="008A4B34">
      <w:pPr>
        <w:pStyle w:val="BodyText"/>
      </w:pPr>
    </w:p>
    <w:p w14:paraId="58972715" w14:textId="77777777" w:rsidR="008A4B34" w:rsidRDefault="008A4B34">
      <w:pPr>
        <w:pStyle w:val="BodyText"/>
      </w:pPr>
    </w:p>
    <w:p w14:paraId="58972716" w14:textId="77777777" w:rsidR="008A4B34" w:rsidRDefault="008A4B34">
      <w:pPr>
        <w:pStyle w:val="BodyText"/>
      </w:pPr>
    </w:p>
    <w:p w14:paraId="58972717" w14:textId="77777777" w:rsidR="008A4B34" w:rsidRDefault="008A4B34">
      <w:pPr>
        <w:pStyle w:val="BodyText"/>
        <w:spacing w:before="8"/>
        <w:rPr>
          <w:sz w:val="23"/>
        </w:rPr>
      </w:pPr>
    </w:p>
    <w:p w14:paraId="58972718" w14:textId="77777777" w:rsidR="008A4B34" w:rsidRDefault="00931A60" w:rsidP="004B483F">
      <w:pPr>
        <w:spacing w:before="142" w:line="204" w:lineRule="auto"/>
        <w:ind w:left="811" w:right="7088" w:hanging="811"/>
        <w:rPr>
          <w:rFonts w:ascii="Arial Black"/>
          <w:sz w:val="26"/>
        </w:rPr>
      </w:pPr>
      <w:r>
        <w:rPr>
          <w:rFonts w:ascii="Arial Black"/>
          <w:color w:val="004674"/>
          <w:sz w:val="26"/>
        </w:rPr>
        <w:t>Правни</w:t>
      </w:r>
      <w:r>
        <w:rPr>
          <w:rFonts w:ascii="Arial Black"/>
          <w:color w:val="004674"/>
          <w:sz w:val="26"/>
        </w:rPr>
        <w:t xml:space="preserve"> </w:t>
      </w:r>
      <w:r>
        <w:rPr>
          <w:rFonts w:ascii="Arial Black"/>
          <w:color w:val="004674"/>
          <w:sz w:val="26"/>
        </w:rPr>
        <w:t>инструменти</w:t>
      </w:r>
      <w:r>
        <w:rPr>
          <w:rFonts w:ascii="Arial Black"/>
          <w:color w:val="004674"/>
          <w:sz w:val="26"/>
        </w:rPr>
        <w:t xml:space="preserve"> </w:t>
      </w:r>
      <w:r>
        <w:rPr>
          <w:rFonts w:ascii="Arial Black"/>
          <w:color w:val="004674"/>
          <w:sz w:val="26"/>
        </w:rPr>
        <w:t>на</w:t>
      </w:r>
      <w:r>
        <w:rPr>
          <w:rFonts w:ascii="Arial Black"/>
          <w:color w:val="004674"/>
          <w:sz w:val="26"/>
        </w:rPr>
        <w:t xml:space="preserve"> </w:t>
      </w:r>
      <w:r>
        <w:rPr>
          <w:rFonts w:ascii="Arial Black"/>
          <w:color w:val="004674"/>
          <w:sz w:val="26"/>
        </w:rPr>
        <w:t>ОИСР</w:t>
      </w:r>
    </w:p>
    <w:p w14:paraId="58972719" w14:textId="77777777" w:rsidR="008A4B34" w:rsidRDefault="008A4B34">
      <w:pPr>
        <w:pStyle w:val="BodyText"/>
        <w:rPr>
          <w:rFonts w:ascii="Arial Black"/>
        </w:rPr>
      </w:pPr>
    </w:p>
    <w:p w14:paraId="5897271A" w14:textId="77777777" w:rsidR="008A4B34" w:rsidRDefault="008A4B34">
      <w:pPr>
        <w:pStyle w:val="BodyText"/>
        <w:rPr>
          <w:rFonts w:ascii="Arial Black"/>
        </w:rPr>
      </w:pPr>
    </w:p>
    <w:p w14:paraId="5897271B" w14:textId="77777777" w:rsidR="008A4B34" w:rsidRDefault="008A4B34">
      <w:pPr>
        <w:pStyle w:val="BodyText"/>
        <w:rPr>
          <w:rFonts w:ascii="Arial Black"/>
        </w:rPr>
      </w:pPr>
    </w:p>
    <w:p w14:paraId="5897271C" w14:textId="77777777" w:rsidR="008A4B34" w:rsidRDefault="008A4B34">
      <w:pPr>
        <w:pStyle w:val="BodyText"/>
        <w:rPr>
          <w:rFonts w:ascii="Arial Black"/>
        </w:rPr>
      </w:pPr>
    </w:p>
    <w:p w14:paraId="5897271D" w14:textId="77777777" w:rsidR="008A4B34" w:rsidRDefault="008A4B34">
      <w:pPr>
        <w:pStyle w:val="BodyText"/>
        <w:rPr>
          <w:rFonts w:ascii="Arial Black"/>
        </w:rPr>
      </w:pPr>
    </w:p>
    <w:p w14:paraId="5897271E" w14:textId="77777777" w:rsidR="008A4B34" w:rsidRDefault="008A4B34">
      <w:pPr>
        <w:pStyle w:val="BodyText"/>
        <w:rPr>
          <w:rFonts w:ascii="Arial Black"/>
        </w:rPr>
      </w:pPr>
    </w:p>
    <w:p w14:paraId="5897271F" w14:textId="77777777" w:rsidR="008A4B34" w:rsidRDefault="008A4B34">
      <w:pPr>
        <w:pStyle w:val="BodyText"/>
        <w:rPr>
          <w:rFonts w:ascii="Arial Black"/>
        </w:rPr>
      </w:pPr>
    </w:p>
    <w:p w14:paraId="58972720" w14:textId="77777777" w:rsidR="008A4B34" w:rsidRDefault="008A4B34">
      <w:pPr>
        <w:pStyle w:val="BodyText"/>
        <w:rPr>
          <w:rFonts w:ascii="Arial Black"/>
        </w:rPr>
      </w:pPr>
    </w:p>
    <w:p w14:paraId="58972721" w14:textId="77777777" w:rsidR="008A4B34" w:rsidRDefault="008A4B34">
      <w:pPr>
        <w:pStyle w:val="BodyText"/>
        <w:rPr>
          <w:rFonts w:ascii="Arial Black"/>
        </w:rPr>
      </w:pPr>
    </w:p>
    <w:p w14:paraId="58972722" w14:textId="77777777" w:rsidR="008A4B34" w:rsidRDefault="008A4B34">
      <w:pPr>
        <w:pStyle w:val="BodyText"/>
        <w:rPr>
          <w:rFonts w:ascii="Arial Black"/>
        </w:rPr>
      </w:pPr>
    </w:p>
    <w:p w14:paraId="58972723" w14:textId="77777777" w:rsidR="008A4B34" w:rsidRDefault="00931A60">
      <w:pPr>
        <w:pStyle w:val="BodyText"/>
        <w:spacing w:before="7"/>
        <w:rPr>
          <w:rFonts w:ascii="Arial Black"/>
          <w:sz w:val="19"/>
        </w:rPr>
      </w:pPr>
      <w:r>
        <w:rPr>
          <w:noProof/>
        </w:rPr>
        <w:drawing>
          <wp:anchor distT="0" distB="0" distL="0" distR="0" simplePos="0" relativeHeight="251659264" behindDoc="0" locked="0" layoutInCell="1" allowOverlap="1" wp14:anchorId="58972876" wp14:editId="58972877">
            <wp:simplePos x="0" y="0"/>
            <wp:positionH relativeFrom="page">
              <wp:posOffset>5058409</wp:posOffset>
            </wp:positionH>
            <wp:positionV relativeFrom="paragraph">
              <wp:posOffset>199377</wp:posOffset>
            </wp:positionV>
            <wp:extent cx="2165036" cy="666750"/>
            <wp:effectExtent l="0" t="0" r="0" b="0"/>
            <wp:wrapTopAndBottom/>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11" cstate="print"/>
                    <a:stretch>
                      <a:fillRect/>
                    </a:stretch>
                  </pic:blipFill>
                  <pic:spPr>
                    <a:xfrm>
                      <a:off x="0" y="0"/>
                      <a:ext cx="2165036" cy="666750"/>
                    </a:xfrm>
                    <a:prstGeom prst="rect">
                      <a:avLst/>
                    </a:prstGeom>
                  </pic:spPr>
                </pic:pic>
              </a:graphicData>
            </a:graphic>
          </wp:anchor>
        </w:drawing>
      </w:r>
    </w:p>
    <w:p w14:paraId="58972724" w14:textId="77777777" w:rsidR="008A4B34" w:rsidRDefault="008A4B34">
      <w:pPr>
        <w:rPr>
          <w:rFonts w:ascii="Arial Black"/>
          <w:sz w:val="19"/>
        </w:rPr>
        <w:sectPr w:rsidR="008A4B34">
          <w:type w:val="continuous"/>
          <w:pgSz w:w="11920" w:h="16850"/>
          <w:pgMar w:top="720" w:right="420" w:bottom="280" w:left="1680" w:header="720" w:footer="720" w:gutter="0"/>
          <w:cols w:space="720"/>
        </w:sectPr>
      </w:pPr>
    </w:p>
    <w:p w14:paraId="58972725" w14:textId="77777777" w:rsidR="008A4B34" w:rsidRDefault="008A4B34">
      <w:pPr>
        <w:pStyle w:val="BodyText"/>
        <w:rPr>
          <w:rFonts w:ascii="Arial Black"/>
        </w:rPr>
      </w:pPr>
    </w:p>
    <w:p w14:paraId="58972726" w14:textId="77777777" w:rsidR="008A4B34" w:rsidRDefault="008A4B34">
      <w:pPr>
        <w:pStyle w:val="BodyText"/>
        <w:rPr>
          <w:rFonts w:ascii="Arial Black"/>
        </w:rPr>
      </w:pPr>
    </w:p>
    <w:p w14:paraId="58972727" w14:textId="77777777" w:rsidR="008A4B34" w:rsidRDefault="008A4B34">
      <w:pPr>
        <w:pStyle w:val="BodyText"/>
        <w:rPr>
          <w:rFonts w:ascii="Arial Black"/>
        </w:rPr>
      </w:pPr>
    </w:p>
    <w:p w14:paraId="58972728" w14:textId="77777777" w:rsidR="008A4B34" w:rsidRDefault="008A4B34">
      <w:pPr>
        <w:pStyle w:val="BodyText"/>
        <w:rPr>
          <w:rFonts w:ascii="Arial Black"/>
        </w:rPr>
      </w:pPr>
    </w:p>
    <w:p w14:paraId="58972729" w14:textId="77777777" w:rsidR="008A4B34" w:rsidRDefault="008A4B34">
      <w:pPr>
        <w:pStyle w:val="BodyText"/>
        <w:rPr>
          <w:rFonts w:ascii="Arial Black"/>
        </w:rPr>
      </w:pPr>
    </w:p>
    <w:p w14:paraId="5897272A" w14:textId="77777777" w:rsidR="008A4B34" w:rsidRDefault="008A4B34">
      <w:pPr>
        <w:pStyle w:val="BodyText"/>
        <w:spacing w:before="1"/>
        <w:rPr>
          <w:rFonts w:ascii="Arial Black"/>
          <w:sz w:val="22"/>
        </w:rPr>
      </w:pPr>
    </w:p>
    <w:p w14:paraId="5897272B" w14:textId="77777777" w:rsidR="008A4B34" w:rsidRDefault="00931A60">
      <w:pPr>
        <w:spacing w:before="94" w:line="242" w:lineRule="auto"/>
        <w:ind w:left="237" w:right="237"/>
        <w:jc w:val="both"/>
        <w:rPr>
          <w:sz w:val="18"/>
        </w:rPr>
      </w:pPr>
      <w:r>
        <w:rPr>
          <w:sz w:val="18"/>
        </w:rPr>
        <w:t>Този документ е публикуван под отговорността на генералния секретар на ОИСР. Той пресъздава правен инструмент на ОИСР и може да съдържа допълнителен материал. Изразените мнения и аргументите, използвани в допълнителния материал, не отразяват непременно офи</w:t>
      </w:r>
      <w:r>
        <w:rPr>
          <w:sz w:val="18"/>
        </w:rPr>
        <w:t>циалните възгледи на страните-членки на ОИСР.</w:t>
      </w:r>
    </w:p>
    <w:p w14:paraId="5897272C" w14:textId="77777777" w:rsidR="008A4B34" w:rsidRDefault="008A4B34">
      <w:pPr>
        <w:pStyle w:val="BodyText"/>
        <w:spacing w:before="10"/>
        <w:rPr>
          <w:sz w:val="15"/>
        </w:rPr>
      </w:pPr>
    </w:p>
    <w:p w14:paraId="5897272D" w14:textId="77777777" w:rsidR="008A4B34" w:rsidRDefault="00931A60">
      <w:pPr>
        <w:spacing w:line="242" w:lineRule="auto"/>
        <w:ind w:left="237" w:right="235"/>
        <w:jc w:val="both"/>
        <w:rPr>
          <w:sz w:val="18"/>
        </w:rPr>
      </w:pPr>
      <w:r>
        <w:rPr>
          <w:sz w:val="18"/>
        </w:rPr>
        <w:t>Този документ, както и всички данни и всяка карта, включени тук, не засягат статута или суверенитета върху която и да е територия, разграничаването на международни граници и наименованието на която и да е тери</w:t>
      </w:r>
      <w:r>
        <w:rPr>
          <w:sz w:val="18"/>
        </w:rPr>
        <w:t>тория, град или област.</w:t>
      </w:r>
    </w:p>
    <w:p w14:paraId="5897272E" w14:textId="77777777" w:rsidR="008A4B34" w:rsidRDefault="008A4B34">
      <w:pPr>
        <w:pStyle w:val="BodyText"/>
      </w:pPr>
    </w:p>
    <w:p w14:paraId="5897272F" w14:textId="77777777" w:rsidR="008A4B34" w:rsidRDefault="008A4B34">
      <w:pPr>
        <w:pStyle w:val="BodyText"/>
      </w:pPr>
    </w:p>
    <w:p w14:paraId="58972730" w14:textId="77777777" w:rsidR="008A4B34" w:rsidRDefault="008A4B34">
      <w:pPr>
        <w:pStyle w:val="BodyText"/>
      </w:pPr>
    </w:p>
    <w:p w14:paraId="58972731" w14:textId="77777777" w:rsidR="008A4B34" w:rsidRDefault="008A4B34">
      <w:pPr>
        <w:pStyle w:val="BodyText"/>
      </w:pPr>
    </w:p>
    <w:p w14:paraId="58972732" w14:textId="77777777" w:rsidR="008A4B34" w:rsidRDefault="008A4B34">
      <w:pPr>
        <w:pStyle w:val="BodyText"/>
      </w:pPr>
    </w:p>
    <w:p w14:paraId="58972733" w14:textId="77777777" w:rsidR="008A4B34" w:rsidRDefault="008A4B34">
      <w:pPr>
        <w:pStyle w:val="BodyText"/>
      </w:pPr>
    </w:p>
    <w:p w14:paraId="58972734" w14:textId="77777777" w:rsidR="008A4B34" w:rsidRDefault="008A4B34">
      <w:pPr>
        <w:pStyle w:val="BodyText"/>
      </w:pPr>
    </w:p>
    <w:p w14:paraId="58972735" w14:textId="77777777" w:rsidR="008A4B34" w:rsidRDefault="008A4B34">
      <w:pPr>
        <w:pStyle w:val="BodyText"/>
      </w:pPr>
    </w:p>
    <w:p w14:paraId="58972736" w14:textId="77777777" w:rsidR="008A4B34" w:rsidRDefault="008A4B34">
      <w:pPr>
        <w:pStyle w:val="BodyText"/>
      </w:pPr>
    </w:p>
    <w:p w14:paraId="58972737" w14:textId="77777777" w:rsidR="008A4B34" w:rsidRDefault="008A4B34">
      <w:pPr>
        <w:pStyle w:val="BodyText"/>
      </w:pPr>
    </w:p>
    <w:p w14:paraId="58972738" w14:textId="77777777" w:rsidR="008A4B34" w:rsidRDefault="008A4B34">
      <w:pPr>
        <w:pStyle w:val="BodyText"/>
      </w:pPr>
    </w:p>
    <w:p w14:paraId="58972739" w14:textId="77777777" w:rsidR="008A4B34" w:rsidRDefault="008A4B34">
      <w:pPr>
        <w:pStyle w:val="BodyText"/>
      </w:pPr>
    </w:p>
    <w:p w14:paraId="5897273A" w14:textId="77777777" w:rsidR="008A4B34" w:rsidRDefault="008A4B34">
      <w:pPr>
        <w:pStyle w:val="BodyText"/>
      </w:pPr>
    </w:p>
    <w:p w14:paraId="5897273B" w14:textId="77777777" w:rsidR="008A4B34" w:rsidRDefault="008A4B34">
      <w:pPr>
        <w:pStyle w:val="BodyText"/>
      </w:pPr>
    </w:p>
    <w:p w14:paraId="5897273C" w14:textId="77777777" w:rsidR="008A4B34" w:rsidRDefault="008A4B34">
      <w:pPr>
        <w:pStyle w:val="BodyText"/>
      </w:pPr>
    </w:p>
    <w:p w14:paraId="5897273D" w14:textId="77777777" w:rsidR="008A4B34" w:rsidRDefault="008A4B34">
      <w:pPr>
        <w:pStyle w:val="BodyText"/>
      </w:pPr>
    </w:p>
    <w:p w14:paraId="5897273E" w14:textId="77777777" w:rsidR="008A4B34" w:rsidRDefault="008A4B34">
      <w:pPr>
        <w:pStyle w:val="BodyText"/>
      </w:pPr>
    </w:p>
    <w:p w14:paraId="5897273F" w14:textId="77777777" w:rsidR="008A4B34" w:rsidRDefault="008A4B34">
      <w:pPr>
        <w:pStyle w:val="BodyText"/>
      </w:pPr>
    </w:p>
    <w:p w14:paraId="58972740" w14:textId="77777777" w:rsidR="008A4B34" w:rsidRDefault="008A4B34">
      <w:pPr>
        <w:pStyle w:val="BodyText"/>
      </w:pPr>
    </w:p>
    <w:p w14:paraId="58972741" w14:textId="77777777" w:rsidR="008A4B34" w:rsidRDefault="008A4B34">
      <w:pPr>
        <w:pStyle w:val="BodyText"/>
      </w:pPr>
    </w:p>
    <w:p w14:paraId="58972742" w14:textId="77777777" w:rsidR="008A4B34" w:rsidRDefault="008A4B34">
      <w:pPr>
        <w:pStyle w:val="BodyText"/>
      </w:pPr>
    </w:p>
    <w:p w14:paraId="58972743" w14:textId="77777777" w:rsidR="008A4B34" w:rsidRDefault="008A4B34">
      <w:pPr>
        <w:pStyle w:val="BodyText"/>
      </w:pPr>
    </w:p>
    <w:p w14:paraId="58972744" w14:textId="77777777" w:rsidR="008A4B34" w:rsidRDefault="008A4B34">
      <w:pPr>
        <w:pStyle w:val="BodyText"/>
      </w:pPr>
    </w:p>
    <w:p w14:paraId="58972745" w14:textId="77777777" w:rsidR="008A4B34" w:rsidRDefault="008A4B34">
      <w:pPr>
        <w:pStyle w:val="BodyText"/>
      </w:pPr>
    </w:p>
    <w:p w14:paraId="58972746" w14:textId="77777777" w:rsidR="008A4B34" w:rsidRDefault="008A4B34">
      <w:pPr>
        <w:pStyle w:val="BodyText"/>
      </w:pPr>
    </w:p>
    <w:p w14:paraId="58972747" w14:textId="77777777" w:rsidR="008A4B34" w:rsidRDefault="008A4B34">
      <w:pPr>
        <w:pStyle w:val="BodyText"/>
      </w:pPr>
    </w:p>
    <w:p w14:paraId="58972748" w14:textId="77777777" w:rsidR="008A4B34" w:rsidRDefault="008A4B34">
      <w:pPr>
        <w:pStyle w:val="BodyText"/>
        <w:spacing w:before="4"/>
        <w:rPr>
          <w:sz w:val="17"/>
        </w:rPr>
      </w:pPr>
    </w:p>
    <w:p w14:paraId="58972749" w14:textId="77777777" w:rsidR="008A4B34" w:rsidRDefault="00931A60">
      <w:pPr>
        <w:spacing w:before="94" w:line="242" w:lineRule="auto"/>
        <w:ind w:left="237"/>
        <w:rPr>
          <w:sz w:val="18"/>
        </w:rPr>
      </w:pPr>
      <w:r>
        <w:rPr>
          <w:sz w:val="18"/>
        </w:rPr>
        <w:t>За достъп до официалните и актуални текстове на правните инструменти на ОИСР, както и друга свързана информация, моля, направете справка със Сборника на правните инструменти на ОИСР на</w:t>
      </w:r>
      <w:r>
        <w:t xml:space="preserve"> </w:t>
      </w:r>
      <w:hyperlink r:id="rId12">
        <w:r>
          <w:rPr>
            <w:color w:val="0000ED"/>
            <w:sz w:val="18"/>
            <w:u w:val="single" w:color="0000ED"/>
          </w:rPr>
          <w:t>http://legalinstru</w:t>
        </w:r>
        <w:r>
          <w:rPr>
            <w:color w:val="0000ED"/>
            <w:sz w:val="18"/>
            <w:u w:val="single" w:color="0000ED"/>
          </w:rPr>
          <w:t>ments.oecd.org</w:t>
        </w:r>
      </w:hyperlink>
      <w:r>
        <w:t xml:space="preserve"> </w:t>
      </w:r>
      <w:r>
        <w:rPr>
          <w:sz w:val="18"/>
        </w:rPr>
        <w:t>.</w:t>
      </w:r>
    </w:p>
    <w:p w14:paraId="5897274A" w14:textId="77777777" w:rsidR="008A4B34" w:rsidRDefault="00931A60">
      <w:pPr>
        <w:pStyle w:val="BodyText"/>
        <w:spacing w:before="1"/>
        <w:rPr>
          <w:sz w:val="14"/>
        </w:rPr>
      </w:pPr>
      <w:r>
        <w:pict w14:anchorId="58972879">
          <v:shapetype id="_x0000_t202" coordsize="21600,21600" o:spt="202" path="m,l,21600r21600,l21600,xe">
            <v:stroke joinstyle="miter"/>
            <v:path gradientshapeok="t" o:connecttype="rect"/>
          </v:shapetype>
          <v:shape id="_x0000_s2067" type="#_x0000_t202" style="position:absolute;margin-left:76.85pt;margin-top:9.3pt;width:441.5pt;height:21.5pt;z-index:-15727616;mso-wrap-distance-left:0;mso-wrap-distance-right:0;mso-position-horizontal-relative:page" fillcolor="#dcd8c2" stroked="f">
            <v:textbox inset="0,0,0,0">
              <w:txbxContent>
                <w:p w14:paraId="58972894" w14:textId="77777777" w:rsidR="008A4B34" w:rsidRDefault="00931A60">
                  <w:pPr>
                    <w:spacing w:before="1"/>
                    <w:rPr>
                      <w:b/>
                      <w:sz w:val="18"/>
                    </w:rPr>
                  </w:pPr>
                  <w:r>
                    <w:rPr>
                      <w:b/>
                      <w:sz w:val="18"/>
                    </w:rPr>
                    <w:t>Моля, цитирайте този документ като:</w:t>
                  </w:r>
                </w:p>
                <w:p w14:paraId="58972895" w14:textId="77777777" w:rsidR="008A4B34" w:rsidRDefault="00931A60">
                  <w:pPr>
                    <w:spacing w:before="8"/>
                    <w:rPr>
                      <w:sz w:val="18"/>
                    </w:rPr>
                  </w:pPr>
                  <w:r>
                    <w:rPr>
                      <w:sz w:val="18"/>
                    </w:rPr>
                    <w:t xml:space="preserve">OECD, </w:t>
                  </w:r>
                  <w:r>
                    <w:rPr>
                      <w:i/>
                      <w:sz w:val="18"/>
                    </w:rPr>
                    <w:t>Препоръка на Съвета относно управлението на водите</w:t>
                  </w:r>
                  <w:r>
                    <w:rPr>
                      <w:sz w:val="18"/>
                    </w:rPr>
                    <w:t>, OECD/LEGAL/0434</w:t>
                  </w:r>
                </w:p>
              </w:txbxContent>
            </v:textbox>
            <w10:wrap type="topAndBottom" anchorx="page"/>
          </v:shape>
        </w:pict>
      </w:r>
    </w:p>
    <w:p w14:paraId="5897274B" w14:textId="77777777" w:rsidR="008A4B34" w:rsidRDefault="008A4B34">
      <w:pPr>
        <w:pStyle w:val="BodyText"/>
        <w:rPr>
          <w:sz w:val="15"/>
        </w:rPr>
      </w:pPr>
    </w:p>
    <w:p w14:paraId="5897274C" w14:textId="77777777" w:rsidR="008A4B34" w:rsidRDefault="00931A60">
      <w:pPr>
        <w:spacing w:before="96"/>
        <w:ind w:left="237"/>
        <w:jc w:val="both"/>
        <w:rPr>
          <w:sz w:val="14"/>
        </w:rPr>
      </w:pPr>
      <w:r>
        <w:rPr>
          <w:sz w:val="14"/>
        </w:rPr>
        <w:t>Серия: Правни инструменти на ОИСР</w:t>
      </w:r>
    </w:p>
    <w:p w14:paraId="5897274D" w14:textId="77777777" w:rsidR="008A4B34" w:rsidRDefault="008A4B34">
      <w:pPr>
        <w:pStyle w:val="BodyText"/>
        <w:rPr>
          <w:sz w:val="16"/>
        </w:rPr>
      </w:pPr>
    </w:p>
    <w:p w14:paraId="5897274E" w14:textId="77777777" w:rsidR="008A4B34" w:rsidRDefault="008A4B34">
      <w:pPr>
        <w:pStyle w:val="BodyText"/>
        <w:rPr>
          <w:sz w:val="16"/>
        </w:rPr>
      </w:pPr>
    </w:p>
    <w:p w14:paraId="5897274F" w14:textId="77777777" w:rsidR="008A4B34" w:rsidRDefault="008A4B34">
      <w:pPr>
        <w:pStyle w:val="BodyText"/>
        <w:spacing w:before="8"/>
        <w:rPr>
          <w:sz w:val="17"/>
        </w:rPr>
      </w:pPr>
    </w:p>
    <w:p w14:paraId="58972750" w14:textId="77777777" w:rsidR="008A4B34" w:rsidRDefault="00931A60">
      <w:pPr>
        <w:ind w:left="237"/>
        <w:jc w:val="both"/>
        <w:rPr>
          <w:sz w:val="18"/>
        </w:rPr>
      </w:pPr>
      <w:r>
        <w:rPr>
          <w:b/>
          <w:sz w:val="18"/>
        </w:rPr>
        <w:t xml:space="preserve">Фотографии: </w:t>
      </w:r>
      <w:r>
        <w:rPr>
          <w:sz w:val="18"/>
        </w:rPr>
        <w:t>© Олга Никонова / Shutterstock</w:t>
      </w:r>
    </w:p>
    <w:p w14:paraId="58972751" w14:textId="77777777" w:rsidR="008A4B34" w:rsidRDefault="008A4B34">
      <w:pPr>
        <w:pStyle w:val="BodyText"/>
        <w:spacing w:before="4"/>
        <w:rPr>
          <w:sz w:val="16"/>
        </w:rPr>
      </w:pPr>
    </w:p>
    <w:p w14:paraId="58972752" w14:textId="77777777" w:rsidR="008A4B34" w:rsidRDefault="00931A60">
      <w:pPr>
        <w:ind w:left="237"/>
        <w:jc w:val="both"/>
        <w:rPr>
          <w:sz w:val="18"/>
        </w:rPr>
      </w:pPr>
      <w:r>
        <w:rPr>
          <w:sz w:val="18"/>
        </w:rPr>
        <w:t>© ОИСР 2021</w:t>
      </w:r>
    </w:p>
    <w:p w14:paraId="58972753" w14:textId="77777777" w:rsidR="008A4B34" w:rsidRDefault="00931A60">
      <w:pPr>
        <w:pStyle w:val="BodyText"/>
        <w:rPr>
          <w:sz w:val="22"/>
        </w:rPr>
      </w:pPr>
      <w:r>
        <w:pict w14:anchorId="5897287A">
          <v:rect id="_x0000_s2066" style="position:absolute;margin-left:76.85pt;margin-top:14.6pt;width:441.5pt;height:.5pt;z-index:-15727104;mso-wrap-distance-left:0;mso-wrap-distance-right:0;mso-position-horizontal-relative:page" fillcolor="black" stroked="f">
            <w10:wrap type="topAndBottom" anchorx="page"/>
          </v:rect>
        </w:pict>
      </w:r>
    </w:p>
    <w:p w14:paraId="58972754" w14:textId="77777777" w:rsidR="008A4B34" w:rsidRDefault="00931A60">
      <w:pPr>
        <w:spacing w:before="83" w:line="242" w:lineRule="auto"/>
        <w:ind w:left="237" w:right="241"/>
        <w:jc w:val="both"/>
        <w:rPr>
          <w:sz w:val="12"/>
        </w:rPr>
      </w:pPr>
      <w:r>
        <w:rPr>
          <w:sz w:val="12"/>
        </w:rPr>
        <w:t>Този документ се предоставя безплатно. Може да се възпроизвежда и разпространява безплатно, без да се изискват допълнителни разрешения, стига да не се променя по никакъв начин. Не може да се продава.</w:t>
      </w:r>
    </w:p>
    <w:p w14:paraId="58972755" w14:textId="77777777" w:rsidR="008A4B34" w:rsidRDefault="008A4B34">
      <w:pPr>
        <w:pStyle w:val="BodyText"/>
        <w:spacing w:before="6"/>
        <w:rPr>
          <w:sz w:val="10"/>
        </w:rPr>
      </w:pPr>
    </w:p>
    <w:p w14:paraId="58972756" w14:textId="77777777" w:rsidR="008A4B34" w:rsidRDefault="00931A60">
      <w:pPr>
        <w:spacing w:line="252" w:lineRule="auto"/>
        <w:ind w:left="237" w:right="237"/>
        <w:jc w:val="both"/>
        <w:rPr>
          <w:i/>
          <w:sz w:val="12"/>
        </w:rPr>
      </w:pPr>
      <w:r>
        <w:pict w14:anchorId="5897287B">
          <v:rect id="_x0000_s2065" style="position:absolute;left:0;text-align:left;margin-left:76.85pt;margin-top:35.15pt;width:441.5pt;height:.5pt;z-index:-15726592;mso-wrap-distance-left:0;mso-wrap-distance-right:0;mso-position-horizontal-relative:page" fillcolor="black" stroked="f">
            <w10:wrap type="topAndBottom" anchorx="page"/>
          </v:rect>
        </w:pict>
      </w:r>
      <w:r>
        <w:rPr>
          <w:sz w:val="12"/>
        </w:rPr>
        <w:t>Този документ е достъпен на двата официални езика на О</w:t>
      </w:r>
      <w:r>
        <w:rPr>
          <w:sz w:val="12"/>
        </w:rPr>
        <w:t xml:space="preserve">ИСР (английски и френски). Може да бъде преведен на други езици, стига преводът да е обозначен като „неофициален превод“ и да включва следната декларация за отказ от отговорност: </w:t>
      </w:r>
      <w:r>
        <w:rPr>
          <w:i/>
          <w:sz w:val="12"/>
        </w:rPr>
        <w:t>„Този превод е изготвен от [ИМЕ НА АВТОРА НА ПРЕВОДА] само с информационна це</w:t>
      </w:r>
      <w:r>
        <w:rPr>
          <w:i/>
          <w:sz w:val="12"/>
        </w:rPr>
        <w:t>л и неговата точност не може да бъде гарантирана от ОИСР. Единствените официални версии са английските и френските текстове, достъпни на уебсайта на ОИСР</w:t>
      </w:r>
      <w:r>
        <w:t xml:space="preserve"> </w:t>
      </w:r>
      <w:hyperlink r:id="rId13">
        <w:r>
          <w:rPr>
            <w:i/>
            <w:color w:val="0000ED"/>
            <w:sz w:val="12"/>
            <w:u w:val="single" w:color="0000ED"/>
          </w:rPr>
          <w:t>http://legalinstruments.oecd.org</w:t>
        </w:r>
      </w:hyperlink>
      <w:r>
        <w:t xml:space="preserve"> </w:t>
      </w:r>
      <w:r>
        <w:rPr>
          <w:i/>
          <w:sz w:val="12"/>
        </w:rPr>
        <w:t>"</w:t>
      </w:r>
    </w:p>
    <w:p w14:paraId="58972757" w14:textId="77777777" w:rsidR="008A4B34" w:rsidRDefault="008A4B34">
      <w:pPr>
        <w:spacing w:line="252" w:lineRule="auto"/>
        <w:jc w:val="both"/>
        <w:rPr>
          <w:sz w:val="12"/>
        </w:rPr>
        <w:sectPr w:rsidR="008A4B34">
          <w:pgSz w:w="11910" w:h="16840"/>
          <w:pgMar w:top="1580" w:right="1299" w:bottom="280" w:left="1300" w:header="720" w:footer="720" w:gutter="0"/>
          <w:cols w:space="720"/>
        </w:sectPr>
      </w:pPr>
    </w:p>
    <w:p w14:paraId="58972758" w14:textId="77777777" w:rsidR="008A4B34" w:rsidRDefault="00931A60">
      <w:pPr>
        <w:pStyle w:val="Heading1"/>
        <w:spacing w:before="98"/>
        <w:ind w:left="237"/>
      </w:pPr>
      <w:r>
        <w:rPr>
          <w:color w:val="1E487C"/>
        </w:rPr>
        <w:lastRenderedPageBreak/>
        <w:t>Обща информация</w:t>
      </w:r>
    </w:p>
    <w:p w14:paraId="58972759" w14:textId="77777777" w:rsidR="008A4B34" w:rsidRPr="00B25169" w:rsidRDefault="008A4B34">
      <w:pPr>
        <w:pStyle w:val="BodyText"/>
        <w:rPr>
          <w:b/>
          <w:sz w:val="12"/>
          <w:szCs w:val="12"/>
        </w:rPr>
      </w:pPr>
    </w:p>
    <w:p w14:paraId="5897275B" w14:textId="77777777" w:rsidR="008A4B34" w:rsidRDefault="00931A60">
      <w:pPr>
        <w:pStyle w:val="BodyText"/>
        <w:spacing w:before="1"/>
        <w:ind w:left="237" w:right="235"/>
        <w:jc w:val="both"/>
      </w:pPr>
      <w:r>
        <w:t>Препоръката за водите беше приета от Съвета на ОИСР на 13 декември 2016 г. по предложение на Комитета по екологична политика. Препоръката заменя четири предишни препоръки на ОИСР, свързани с водите, като улавя основните послания, които пр</w:t>
      </w:r>
      <w:r>
        <w:t>оизтичат от тази работа. Тя препоръчва политически насоки, които помагат за справяне с неотложните проблеми с водата, на които централните и поднационалните власти трябва да отговорят. Препоръката обхваща широк спектър от въпроси, включително управление на</w:t>
      </w:r>
      <w:r>
        <w:t xml:space="preserve"> количеството и качеството на водата, управление на свързаните с водата рискове, управление, ценообразуване и финансиране. Тя обхваща използването на водата в селското стопанство и градовете, управлението на градските води и свързаните с това въпроси.</w:t>
      </w:r>
    </w:p>
    <w:p w14:paraId="5897275C" w14:textId="77777777" w:rsidR="008A4B34" w:rsidRPr="00B25169" w:rsidRDefault="008A4B34">
      <w:pPr>
        <w:pStyle w:val="BodyText"/>
        <w:spacing w:before="10"/>
        <w:rPr>
          <w:sz w:val="12"/>
          <w:szCs w:val="12"/>
        </w:rPr>
      </w:pPr>
    </w:p>
    <w:p w14:paraId="5897275D" w14:textId="77777777" w:rsidR="008A4B34" w:rsidRDefault="00931A60">
      <w:pPr>
        <w:pStyle w:val="Heading3"/>
        <w:spacing w:line="244" w:lineRule="auto"/>
        <w:ind w:right="238"/>
      </w:pPr>
      <w:r>
        <w:t>Нов</w:t>
      </w:r>
      <w:r>
        <w:t>а инерция за подобряване на управлението на водните ресурси в развитите и развиващите се</w:t>
      </w:r>
      <w:r>
        <w:t xml:space="preserve"> страни</w:t>
      </w:r>
    </w:p>
    <w:p w14:paraId="5897275E" w14:textId="77777777" w:rsidR="008A4B34" w:rsidRPr="00B25169" w:rsidRDefault="008A4B34">
      <w:pPr>
        <w:pStyle w:val="BodyText"/>
        <w:spacing w:before="7"/>
        <w:rPr>
          <w:b/>
          <w:i/>
          <w:sz w:val="12"/>
          <w:szCs w:val="12"/>
        </w:rPr>
      </w:pPr>
    </w:p>
    <w:p w14:paraId="5897275F" w14:textId="77777777" w:rsidR="008A4B34" w:rsidRDefault="00931A60">
      <w:pPr>
        <w:pStyle w:val="BodyText"/>
        <w:ind w:left="237" w:right="230"/>
        <w:jc w:val="both"/>
      </w:pPr>
      <w:r>
        <w:t xml:space="preserve">Ефективното и ефикасно управление на водните ресурси и водните услуги остава основно предизвикателство за много членове и партньори на ОИСР и натискът върху водните ресурси продължава да расте. </w:t>
      </w:r>
      <w:hyperlink r:id="rId14">
        <w:r>
          <w:rPr>
            <w:color w:val="0000ED"/>
            <w:u w:val="single" w:color="0000ED"/>
          </w:rPr>
          <w:t>Прогнозата за околната среда на ОИСР до 2050 г</w:t>
        </w:r>
      </w:hyperlink>
      <w:r>
        <w:rPr>
          <w:color w:val="0000ED"/>
        </w:rPr>
        <w:t xml:space="preserve"> </w:t>
      </w:r>
      <w:r>
        <w:t>изтъкна основните опасения за управлението на водите: засилваща се конкуренция за достъп до вода (задвижвана от населението и икономическия растеж); влошаване</w:t>
      </w:r>
      <w:r>
        <w:t xml:space="preserve"> на качеството на водата; продължаващата необходимост от разширяване на достъпа до безопасна питейна вода и канализация в много части на света и поддържане на водните услуги в други; понижаване на доставките на подземни води; и заплахата от изменението на </w:t>
      </w:r>
      <w:r>
        <w:t>климата.</w:t>
      </w:r>
    </w:p>
    <w:p w14:paraId="58972760" w14:textId="77777777" w:rsidR="008A4B34" w:rsidRPr="00B25169" w:rsidRDefault="008A4B34">
      <w:pPr>
        <w:pStyle w:val="BodyText"/>
        <w:rPr>
          <w:sz w:val="12"/>
          <w:szCs w:val="12"/>
        </w:rPr>
      </w:pPr>
    </w:p>
    <w:p w14:paraId="58972761" w14:textId="77777777" w:rsidR="008A4B34" w:rsidRDefault="00931A60">
      <w:pPr>
        <w:pStyle w:val="BodyText"/>
        <w:ind w:left="237" w:right="238"/>
        <w:jc w:val="both"/>
      </w:pPr>
      <w:r>
        <w:t>Стойността на това предизвикателство в глобален мащаб (с изключение на рисковете за околната среда) се оценява на 500 милиарда долара годишно. От тези разходи неподходящите водоснабдяване и канализация възлизат на 260 милиарда долара годишно.</w:t>
      </w:r>
    </w:p>
    <w:p w14:paraId="58972762" w14:textId="77777777" w:rsidR="008A4B34" w:rsidRPr="00B25169" w:rsidRDefault="008A4B34">
      <w:pPr>
        <w:pStyle w:val="BodyText"/>
        <w:rPr>
          <w:sz w:val="12"/>
          <w:szCs w:val="12"/>
        </w:rPr>
      </w:pPr>
    </w:p>
    <w:p w14:paraId="58972763" w14:textId="77777777" w:rsidR="008A4B34" w:rsidRDefault="00931A60">
      <w:pPr>
        <w:pStyle w:val="BodyText"/>
        <w:ind w:left="237" w:right="236"/>
        <w:jc w:val="both"/>
      </w:pPr>
      <w:r>
        <w:t>Вк</w:t>
      </w:r>
      <w:r>
        <w:t>лючването на водата като една от целите за устойчиво развитие (ЦУР 6) и нейното значение в редица други ЦУР отразяват значението, което световната общност отдава на водата. От страна на правителствата, индустрията, градовете, общностите, операторите и непр</w:t>
      </w:r>
      <w:r>
        <w:t>авителствените организации или организациите на гражданското общество за иновативни е налице и търсене на по-ефективни подходи за управление на водата Те ще вземат предвид разнообразните и конкуриращи се изисквания към ресурса, включително необходимостта о</w:t>
      </w:r>
      <w:r>
        <w:t>т поддържане на екологична устойчивост и гарантиране, че нуждите на най-уязвимите членове на обществото са задоволени.</w:t>
      </w:r>
    </w:p>
    <w:p w14:paraId="58972764" w14:textId="77777777" w:rsidR="008A4B34" w:rsidRPr="00B25169" w:rsidRDefault="008A4B34">
      <w:pPr>
        <w:pStyle w:val="BodyText"/>
        <w:rPr>
          <w:sz w:val="12"/>
          <w:szCs w:val="12"/>
        </w:rPr>
      </w:pPr>
    </w:p>
    <w:p w14:paraId="58972765" w14:textId="77777777" w:rsidR="008A4B34" w:rsidRDefault="00931A60">
      <w:pPr>
        <w:pStyle w:val="BodyText"/>
        <w:spacing w:before="1"/>
        <w:ind w:left="237" w:right="235"/>
        <w:jc w:val="both"/>
      </w:pPr>
      <w:r>
        <w:t>От началото на 70-те години на миналия век ОИСР предоставя на страните-членки на ОИСР, както и на тези, които не членуват в ОИСР политич</w:t>
      </w:r>
      <w:r>
        <w:t>ески насоки в областта на водите, обхващащи широк спектър от въпроси, включително управление на водния риск, реформа на разпределението, управление, използване на водата в селското стопанство и градовете, ценообразуване и финансиране на водни услуги и инфр</w:t>
      </w:r>
      <w:r>
        <w:t>аструктура.</w:t>
      </w:r>
    </w:p>
    <w:p w14:paraId="58972766" w14:textId="77777777" w:rsidR="008A4B34" w:rsidRPr="00B25169" w:rsidRDefault="008A4B34">
      <w:pPr>
        <w:pStyle w:val="BodyText"/>
        <w:spacing w:before="4"/>
        <w:rPr>
          <w:sz w:val="12"/>
          <w:szCs w:val="12"/>
        </w:rPr>
      </w:pPr>
    </w:p>
    <w:p w14:paraId="58972767" w14:textId="77777777" w:rsidR="008A4B34" w:rsidRDefault="00931A60">
      <w:pPr>
        <w:pStyle w:val="Heading3"/>
        <w:spacing w:before="1"/>
      </w:pPr>
      <w:r>
        <w:t>Амбиция и обхват</w:t>
      </w:r>
    </w:p>
    <w:p w14:paraId="58972768" w14:textId="77777777" w:rsidR="008A4B34" w:rsidRPr="00B25169" w:rsidRDefault="008A4B34">
      <w:pPr>
        <w:pStyle w:val="BodyText"/>
        <w:spacing w:before="11"/>
        <w:rPr>
          <w:b/>
          <w:i/>
          <w:sz w:val="12"/>
          <w:szCs w:val="12"/>
        </w:rPr>
      </w:pPr>
    </w:p>
    <w:p w14:paraId="58972769" w14:textId="77777777" w:rsidR="008A4B34" w:rsidRDefault="00931A60">
      <w:pPr>
        <w:pStyle w:val="BodyText"/>
        <w:ind w:left="237" w:right="234"/>
        <w:jc w:val="both"/>
      </w:pPr>
      <w:r>
        <w:t>Препоръката формира сбит и последователен правен инструмент, предоставящ политически насоки на високо ниво по редица теми, свързани с управлението на водните ресурси и предоставянето на водни услуги: управление на водното кол</w:t>
      </w:r>
      <w:r>
        <w:t>ичество; подобряване на качеството на водата; управление на водните рискове и бедствия; осигуряване на добро управление на водите; и осигуряване на устойчиво финансиране, инвестиции и ценообразуване за вода и водни услуги.</w:t>
      </w:r>
    </w:p>
    <w:p w14:paraId="5897276A" w14:textId="77777777" w:rsidR="008A4B34" w:rsidRPr="00B25169" w:rsidRDefault="008A4B34">
      <w:pPr>
        <w:pStyle w:val="BodyText"/>
        <w:rPr>
          <w:sz w:val="12"/>
          <w:szCs w:val="12"/>
        </w:rPr>
      </w:pPr>
    </w:p>
    <w:p w14:paraId="5897276B" w14:textId="77777777" w:rsidR="008A4B34" w:rsidRDefault="00931A60">
      <w:pPr>
        <w:pStyle w:val="BodyText"/>
        <w:ind w:left="237" w:right="236"/>
        <w:jc w:val="both"/>
      </w:pPr>
      <w:r>
        <w:t>Препоръката представя редица мер</w:t>
      </w:r>
      <w:r>
        <w:t>ки, които присъединилите се страни трябва да вземат предвид, така че управлението на водите да допринесе за устойчив растеж и развитие. По-специално, Съветът на ОИСР отправя препоръки към присъединилите се страни:</w:t>
      </w:r>
    </w:p>
    <w:p w14:paraId="5897276C" w14:textId="77777777" w:rsidR="008A4B34" w:rsidRPr="00B25169" w:rsidRDefault="008A4B34">
      <w:pPr>
        <w:pStyle w:val="BodyText"/>
        <w:spacing w:before="5"/>
        <w:rPr>
          <w:sz w:val="12"/>
          <w:szCs w:val="12"/>
        </w:rPr>
      </w:pPr>
    </w:p>
    <w:p w14:paraId="5897276D" w14:textId="77777777" w:rsidR="008A4B34" w:rsidRDefault="00931A60">
      <w:pPr>
        <w:pStyle w:val="BodyText"/>
        <w:ind w:left="837"/>
        <w:jc w:val="both"/>
      </w:pPr>
      <w:r>
        <w:pict w14:anchorId="5897287C">
          <v:group id="_x0000_s2062" style="position:absolute;left:0;text-align:left;margin-left:99pt;margin-top:4.75pt;width:3.25pt;height:3.25pt;z-index:15731200;mso-position-horizontal-relative:page" coordorigin="1980,95" coordsize="65,65">
            <v:shape id="_x0000_s2064" style="position:absolute;left:1982;top:97;width:60;height:60" coordorigin="1982,98" coordsize="60,60" path="m2012,158r-11,-3l1991,149r-6,-10l1982,128r3,-12l1991,106r10,-6l2012,98r12,2l2034,106r6,10l2042,128r-2,11l2034,149r-10,6l2012,158xe" fillcolor="black" stroked="f">
              <v:path arrowok="t"/>
            </v:shape>
            <v:shape id="_x0000_s2063" style="position:absolute;left:1982;top:97;width:60;height:60" coordorigin="1982,98" coordsize="60,60" path="m2042,128r-2,11l2034,149r-10,6l2012,158r-11,-3l1991,149r-6,-10l1982,128r3,-12l1991,106r10,-6l2012,98r12,2l2034,106r6,10l2042,128xe" filled="f" strokeweight=".25pt">
              <v:path arrowok="t"/>
            </v:shape>
            <w10:wrap anchorx="page"/>
          </v:group>
        </w:pict>
      </w:r>
      <w:r>
        <w:t xml:space="preserve">Да разработват и прилагат политики за </w:t>
      </w:r>
      <w:r>
        <w:t>водите, които са съобразени с местните условия;</w:t>
      </w:r>
    </w:p>
    <w:p w14:paraId="5897276E" w14:textId="77777777" w:rsidR="008A4B34" w:rsidRDefault="00931A60">
      <w:pPr>
        <w:pStyle w:val="BodyText"/>
        <w:ind w:left="837" w:right="240"/>
        <w:jc w:val="both"/>
      </w:pPr>
      <w:r>
        <w:pict w14:anchorId="5897287D">
          <v:group id="_x0000_s2059" style="position:absolute;left:0;text-align:left;margin-left:99pt;margin-top:4.75pt;width:3.25pt;height:3.25pt;z-index:15731712;mso-position-horizontal-relative:page" coordorigin="1980,95" coordsize="65,65">
            <v:shape id="_x0000_s2061" style="position:absolute;left:1982;top:97;width:60;height:60" coordorigin="1982,98" coordsize="60,60" path="m2012,158r-11,-3l1991,149r-6,-10l1982,128r3,-12l1991,106r10,-6l2012,98r12,2l2034,106r6,10l2042,128r-2,11l2034,149r-10,6l2012,158xe" fillcolor="black" stroked="f">
              <v:path arrowok="t"/>
            </v:shape>
            <v:shape id="_x0000_s2060" style="position:absolute;left:1982;top:97;width:60;height:60" coordorigin="1982,98" coordsize="60,60" path="m2042,128r-2,11l2034,149r-10,6l2012,158r-11,-3l1991,149r-6,-10l1982,128r3,-12l1991,106r10,-6l2012,98r12,2l2034,106r6,10l2042,128xe" filled="f" strokeweight=".25pt">
              <v:path arrowok="t"/>
            </v:shape>
            <w10:wrap anchorx="page"/>
          </v:group>
        </w:pict>
      </w:r>
      <w:r>
        <w:t>Да управляват водното количество чрез комбинация от политики, които контролират потреблението на вода, насърчават ефективността на използването на водата и разпределят водата там, където е най-необходима;</w:t>
      </w:r>
    </w:p>
    <w:p w14:paraId="5897276F" w14:textId="77777777" w:rsidR="008A4B34" w:rsidRDefault="00931A60">
      <w:pPr>
        <w:pStyle w:val="BodyText"/>
        <w:ind w:left="837" w:right="239"/>
        <w:jc w:val="both"/>
      </w:pPr>
      <w:r>
        <w:pict w14:anchorId="5897287E">
          <v:group id="_x0000_s2056" style="position:absolute;left:0;text-align:left;margin-left:99pt;margin-top:4.75pt;width:3.25pt;height:3.25pt;z-index:15732224;mso-position-horizontal-relative:page" coordorigin="1980,95" coordsize="65,65">
            <v:shape id="_x0000_s2058" style="position:absolute;left:1982;top:97;width:60;height:60" coordorigin="1982,98" coordsize="60,60" path="m2012,158r-11,-3l1991,149r-6,-10l1982,128r3,-12l1991,106r10,-6l2012,98r12,2l2034,106r6,10l2042,128r-2,11l2034,149r-10,6l2012,158xe" fillcolor="black" stroked="f">
              <v:path arrowok="t"/>
            </v:shape>
            <v:shape id="_x0000_s2057" style="position:absolute;left:1982;top:97;width:60;height:60" coordorigin="1982,98" coordsize="60,60" path="m2042,128r-2,11l2034,149r-10,6l2012,158r-11,-3l1991,149r-6,-10l1982,128r3,-12l1991,106r10,-6l2012,98r12,2l2034,106r6,10l2042,128xe" filled="f" strokeweight=".25pt">
              <v:path arrowok="t"/>
            </v:shape>
            <w10:wrap anchorx="page"/>
          </v:group>
        </w:pict>
      </w:r>
      <w:r>
        <w:t>Да предотвратяват, намаляват и управляват замърс</w:t>
      </w:r>
      <w:r>
        <w:t>яването на водата от всички източници, в повърхностните и подземните води и в свързаните с водата крайбрежни екосистеми;</w:t>
      </w:r>
    </w:p>
    <w:p w14:paraId="58972770" w14:textId="77777777" w:rsidR="008A4B34" w:rsidRDefault="00931A60">
      <w:pPr>
        <w:pStyle w:val="BodyText"/>
        <w:ind w:left="837" w:right="235"/>
        <w:jc w:val="both"/>
      </w:pPr>
      <w:r>
        <w:pict w14:anchorId="5897287F">
          <v:group id="_x0000_s2053" style="position:absolute;left:0;text-align:left;margin-left:99pt;margin-top:4.75pt;width:3.25pt;height:3.25pt;z-index:15732736;mso-position-horizontal-relative:page" coordorigin="1980,95" coordsize="65,65">
            <v:shape id="_x0000_s2055" style="position:absolute;left:1982;top:97;width:60;height:60" coordorigin="1982,98" coordsize="60,60" path="m2012,158r-11,-3l1991,149r-6,-10l1982,128r3,-12l1991,106r10,-6l2012,98r12,2l2034,106r6,10l2042,128r-2,11l2034,149r-10,6l2012,158xe" fillcolor="black" stroked="f">
              <v:path arrowok="t"/>
            </v:shape>
            <v:shape id="_x0000_s2054" style="position:absolute;left:1982;top:97;width:60;height:60" coordorigin="1982,98" coordsize="60,60" path="m2042,128r-2,11l2034,149r-10,6l2012,158r-11,-3l1991,149r-6,-10l1982,128r3,-12l1991,106r10,-6l2012,98r12,2l2034,106r6,10l2042,128xe" filled="f" strokeweight=".25pt">
              <v:path arrowok="t"/>
            </v:shape>
            <w10:wrap anchorx="page"/>
          </v:group>
        </w:pict>
      </w:r>
      <w:r>
        <w:t>Да повишат ефективността и ефикасността на управлението, доверието и ангажираността за водите – раздел 6 от препоръката отразява при</w:t>
      </w:r>
      <w:r>
        <w:t>нципите на ОИСР за управление на водите, които бяха разработени в рамките на Инициативата за управление на водите на ОИСР и приветствани от министрите по време на</w:t>
      </w:r>
    </w:p>
    <w:p w14:paraId="58972771" w14:textId="77777777" w:rsidR="008A4B34" w:rsidRDefault="008A4B34">
      <w:pPr>
        <w:jc w:val="both"/>
        <w:sectPr w:rsidR="008A4B34">
          <w:headerReference w:type="even" r:id="rId15"/>
          <w:headerReference w:type="default" r:id="rId16"/>
          <w:pgSz w:w="11910" w:h="16840"/>
          <w:pgMar w:top="1320" w:right="1299" w:bottom="280" w:left="1300" w:header="849" w:footer="0" w:gutter="0"/>
          <w:pgNumType w:start="3"/>
          <w:cols w:space="720"/>
        </w:sectPr>
      </w:pPr>
    </w:p>
    <w:p w14:paraId="58972772" w14:textId="77777777" w:rsidR="008A4B34" w:rsidRDefault="00931A60">
      <w:pPr>
        <w:pStyle w:val="BodyText"/>
        <w:spacing w:before="83"/>
        <w:ind w:left="837"/>
      </w:pPr>
      <w:r>
        <w:lastRenderedPageBreak/>
        <w:t>Министерската среща на Съвета на 3-4 юни 2015 г.:</w:t>
      </w:r>
    </w:p>
    <w:p w14:paraId="58972773" w14:textId="77777777" w:rsidR="008A4B34" w:rsidRDefault="00931A60">
      <w:pPr>
        <w:pStyle w:val="BodyText"/>
        <w:spacing w:before="2"/>
        <w:ind w:left="837"/>
      </w:pPr>
      <w:r>
        <w:pict w14:anchorId="58972880">
          <v:group id="_x0000_s2050" style="position:absolute;left:0;text-align:left;margin-left:99pt;margin-top:4.85pt;width:3.25pt;height:3.25pt;z-index:15733248;mso-position-horizontal-relative:page" coordorigin="1980,97" coordsize="65,65">
            <v:shape id="_x0000_s2052" style="position:absolute;left:1982;top:99;width:60;height:60" coordorigin="1982,100" coordsize="60,60" path="m2012,160r-11,-3l1991,151r-6,-10l1982,130r3,-12l1991,108r10,-6l2012,100r12,2l2034,108r6,10l2042,130r-2,11l2034,151r-10,6l2012,160xe" fillcolor="black" stroked="f">
              <v:path arrowok="t"/>
            </v:shape>
            <v:shape id="_x0000_s2051" style="position:absolute;left:1982;top:99;width:60;height:60" coordorigin="1982,100" coordsize="60,60" path="m2042,130r-2,11l2034,151r-10,6l2012,160r-11,-3l1991,151r-6,-10l1982,130r3,-12l1991,108r10,-6l2012,100r12,2l2034,108r6,10l2042,130xe" filled="f" strokeweight=".25pt">
              <v:path arrowok="t"/>
            </v:shape>
            <w10:wrap anchorx="page"/>
          </v:group>
        </w:pict>
      </w:r>
      <w:r>
        <w:t xml:space="preserve">Да установят мерки за устойчиво финансиране на водните услуги, водните инфраструктури, управлението на водните ресурси и опазването на свързаните </w:t>
      </w:r>
      <w:r>
        <w:t>с водата екосистеми.</w:t>
      </w:r>
    </w:p>
    <w:p w14:paraId="58972774" w14:textId="77777777" w:rsidR="008A4B34" w:rsidRDefault="008A4B34">
      <w:pPr>
        <w:pStyle w:val="BodyText"/>
        <w:spacing w:before="4"/>
        <w:rPr>
          <w:sz w:val="17"/>
        </w:rPr>
      </w:pPr>
    </w:p>
    <w:p w14:paraId="58972775" w14:textId="77777777" w:rsidR="008A4B34" w:rsidRDefault="00931A60">
      <w:pPr>
        <w:pStyle w:val="BodyText"/>
        <w:spacing w:before="1"/>
        <w:ind w:left="237" w:right="235"/>
        <w:jc w:val="both"/>
      </w:pPr>
      <w:r>
        <w:t>Препоръката обхваща основните послания, които произтичат от работата на ОИСР и които могат да помогнат за справяне с неотложните проблеми, на които централните и местните власти трябва да отговорят. Централните и местните власти могат</w:t>
      </w:r>
      <w:r>
        <w:t xml:space="preserve"> да използват препоръката като отправна точка за оценка и евентуално преразглеждане на своите политики, които допринасят за управлението на водните ресурси и водната сигурност. Те могат да направят това доброволно, или чрез индивидуална самооценка, или чре</w:t>
      </w:r>
      <w:r>
        <w:t>з диалог с ОИСР в областта на водната политика, по тяхно искане и при налично финансиране.</w:t>
      </w:r>
    </w:p>
    <w:p w14:paraId="58972776" w14:textId="77777777" w:rsidR="008A4B34" w:rsidRDefault="008A4B34">
      <w:pPr>
        <w:pStyle w:val="BodyText"/>
        <w:spacing w:before="5"/>
      </w:pPr>
    </w:p>
    <w:p w14:paraId="58972777" w14:textId="77777777" w:rsidR="008A4B34" w:rsidRDefault="00931A60">
      <w:pPr>
        <w:pStyle w:val="Heading3"/>
      </w:pPr>
      <w:r>
        <w:t>Приобщаващ процес за разработване и подпомагане на изпълнението</w:t>
      </w:r>
    </w:p>
    <w:p w14:paraId="58972778" w14:textId="77777777" w:rsidR="008A4B34" w:rsidRDefault="008A4B34">
      <w:pPr>
        <w:pStyle w:val="BodyText"/>
        <w:rPr>
          <w:b/>
          <w:i/>
        </w:rPr>
      </w:pPr>
    </w:p>
    <w:p w14:paraId="58972779" w14:textId="77777777" w:rsidR="008A4B34" w:rsidRDefault="00931A60">
      <w:pPr>
        <w:pStyle w:val="BodyText"/>
        <w:ind w:left="237" w:right="234"/>
        <w:jc w:val="both"/>
      </w:pPr>
      <w:r>
        <w:t>Препоръката беше приета след 2-годишен процес на консултации, който включваше редица комитети на ОИ</w:t>
      </w:r>
      <w:r>
        <w:t>СР и партньорски институции и мрежи, в т.ч.: Комитета по екологична политика, Комитета по земеделие, Комитета за регионалната политика за развитие, Комитета по регулаторна политика и Комитета за подпомагане на развитието . Тя също така отразява коментарите</w:t>
      </w:r>
      <w:r>
        <w:t>, получени чрез кръг от обществени консултации, организирани през м. април 2016 г. и предприети със Стопанския и индустриален консултативен комитет, Синдикалния консултативен комитет, Европейското бюро по околната среда и Инициативата за управление на води</w:t>
      </w:r>
      <w:r>
        <w:t>те на ОИСР. Повече информация за процеса и коментарите, получени чрез обществената консултация, са достъпни на уебстраницата на ОИСР по въпросите в областта на водите (</w:t>
      </w:r>
      <w:hyperlink r:id="rId17">
        <w:r>
          <w:rPr>
            <w:color w:val="0000ED"/>
            <w:u w:val="single" w:color="0000ED"/>
          </w:rPr>
          <w:t>www.oecd.org/water</w:t>
        </w:r>
      </w:hyperlink>
      <w:r>
        <w:t xml:space="preserve"> ).</w:t>
      </w:r>
    </w:p>
    <w:p w14:paraId="5897277A" w14:textId="77777777" w:rsidR="008A4B34" w:rsidRDefault="008A4B34">
      <w:pPr>
        <w:pStyle w:val="BodyText"/>
      </w:pPr>
    </w:p>
    <w:p w14:paraId="5897277B" w14:textId="77777777" w:rsidR="008A4B34" w:rsidRDefault="00931A60">
      <w:pPr>
        <w:pStyle w:val="BodyText"/>
        <w:ind w:left="237" w:right="236"/>
        <w:jc w:val="both"/>
      </w:pPr>
      <w:r>
        <w:t>За да осигури подкре</w:t>
      </w:r>
      <w:r>
        <w:t>па на присъединилите се страни при прилагането на препоръката, ОИСР разработва инструментариум за прилагане, който ще предостави допълнителна информация относно обосновката на препоръките за политиката, списък от възможности и инструменти, които могат да п</w:t>
      </w:r>
      <w:r>
        <w:t>омогнат за прилагането на проекта на препоръката и международни добри практики.</w:t>
      </w:r>
    </w:p>
    <w:p w14:paraId="5897277C" w14:textId="77777777" w:rsidR="008A4B34" w:rsidRDefault="008A4B34">
      <w:pPr>
        <w:pStyle w:val="BodyText"/>
      </w:pPr>
    </w:p>
    <w:p w14:paraId="5897277D" w14:textId="77777777" w:rsidR="008A4B34" w:rsidRDefault="00931A60">
      <w:pPr>
        <w:spacing w:line="480" w:lineRule="auto"/>
        <w:ind w:left="237" w:right="1185"/>
        <w:rPr>
          <w:i/>
          <w:sz w:val="20"/>
        </w:rPr>
      </w:pPr>
      <w:r>
        <w:rPr>
          <w:i/>
          <w:sz w:val="20"/>
        </w:rPr>
        <w:t>За повече информация относно работата на ОИСР в областта на водите, моля, консултирайте се с:</w:t>
      </w:r>
      <w:r>
        <w:t xml:space="preserve"> </w:t>
      </w:r>
      <w:hyperlink r:id="rId18">
        <w:r>
          <w:rPr>
            <w:i/>
            <w:color w:val="0000ED"/>
            <w:sz w:val="20"/>
            <w:u w:val="single" w:color="0000ED"/>
          </w:rPr>
          <w:t>http://www.oecd.org/water/</w:t>
        </w:r>
      </w:hyperlink>
      <w:r>
        <w:t xml:space="preserve"> </w:t>
      </w:r>
      <w:r>
        <w:rPr>
          <w:i/>
          <w:sz w:val="20"/>
        </w:rPr>
        <w:t>. Информ</w:t>
      </w:r>
      <w:r>
        <w:rPr>
          <w:i/>
          <w:sz w:val="20"/>
        </w:rPr>
        <w:t xml:space="preserve">ация за контакт: </w:t>
      </w:r>
      <w:hyperlink r:id="rId19">
        <w:r>
          <w:rPr>
            <w:i/>
            <w:color w:val="0000ED"/>
            <w:sz w:val="20"/>
            <w:u w:val="single" w:color="0000ED"/>
          </w:rPr>
          <w:t>Xavier.LEFLAIVE@oecd.org</w:t>
        </w:r>
      </w:hyperlink>
      <w:r>
        <w:t xml:space="preserve"> </w:t>
      </w:r>
      <w:r>
        <w:rPr>
          <w:i/>
          <w:sz w:val="20"/>
        </w:rPr>
        <w:t>.</w:t>
      </w:r>
    </w:p>
    <w:p w14:paraId="5897277E" w14:textId="77777777" w:rsidR="008A4B34" w:rsidRDefault="008A4B34">
      <w:pPr>
        <w:pStyle w:val="BodyText"/>
        <w:rPr>
          <w:i/>
          <w:sz w:val="22"/>
        </w:rPr>
      </w:pPr>
    </w:p>
    <w:p w14:paraId="5897277F" w14:textId="77777777" w:rsidR="008A4B34" w:rsidRDefault="008A4B34">
      <w:pPr>
        <w:pStyle w:val="BodyText"/>
        <w:spacing w:before="3"/>
        <w:rPr>
          <w:i/>
          <w:sz w:val="21"/>
        </w:rPr>
      </w:pPr>
    </w:p>
    <w:p w14:paraId="58972780" w14:textId="77777777" w:rsidR="008A4B34" w:rsidRDefault="00931A60">
      <w:pPr>
        <w:pStyle w:val="Heading1"/>
        <w:ind w:left="237"/>
        <w:jc w:val="left"/>
      </w:pPr>
      <w:r>
        <w:rPr>
          <w:color w:val="1E487C"/>
        </w:rPr>
        <w:t>Прилагане</w:t>
      </w:r>
    </w:p>
    <w:p w14:paraId="58972781" w14:textId="77777777" w:rsidR="008A4B34" w:rsidRDefault="008A4B34">
      <w:pPr>
        <w:pStyle w:val="BodyText"/>
        <w:rPr>
          <w:b/>
          <w:sz w:val="26"/>
        </w:rPr>
      </w:pPr>
    </w:p>
    <w:p w14:paraId="58972782" w14:textId="77777777" w:rsidR="008A4B34" w:rsidRDefault="008A4B34">
      <w:pPr>
        <w:pStyle w:val="BodyText"/>
        <w:spacing w:before="8"/>
        <w:rPr>
          <w:b/>
          <w:sz w:val="23"/>
        </w:rPr>
      </w:pPr>
    </w:p>
    <w:p w14:paraId="58972783" w14:textId="77777777" w:rsidR="008A4B34" w:rsidRDefault="00931A60">
      <w:pPr>
        <w:pStyle w:val="Heading3"/>
        <w:jc w:val="left"/>
      </w:pPr>
      <w:r>
        <w:t>Инструментариум за политики в областта на водите и управление</w:t>
      </w:r>
    </w:p>
    <w:p w14:paraId="58972784" w14:textId="77777777" w:rsidR="008A4B34" w:rsidRDefault="008A4B34">
      <w:pPr>
        <w:pStyle w:val="BodyText"/>
        <w:spacing w:before="5"/>
        <w:rPr>
          <w:b/>
          <w:i/>
          <w:sz w:val="17"/>
        </w:rPr>
      </w:pPr>
    </w:p>
    <w:p w14:paraId="58972785" w14:textId="77777777" w:rsidR="008A4B34" w:rsidRDefault="00931A60">
      <w:pPr>
        <w:pStyle w:val="BodyText"/>
        <w:ind w:left="237" w:right="235"/>
        <w:jc w:val="both"/>
      </w:pPr>
      <w:r>
        <w:t xml:space="preserve">След приемането на препоръката ОИСР предостави платформа за обмен и </w:t>
      </w:r>
      <w:hyperlink r:id="rId20">
        <w:r>
          <w:t>извличане на поуки, които подкрепят прилагането на препоръката.</w:t>
        </w:r>
      </w:hyperlink>
      <w:r>
        <w:t>През 2021 г. бе</w:t>
      </w:r>
      <w:r>
        <w:t>ше разработен</w:t>
      </w:r>
      <w:r>
        <w:rPr>
          <w:color w:val="0000ED"/>
          <w:u w:val="single" w:color="0000ED"/>
        </w:rPr>
        <w:t xml:space="preserve"> </w:t>
      </w:r>
      <w:hyperlink r:id="rId21">
        <w:r>
          <w:rPr>
            <w:u w:val="single" w:color="0000ED"/>
          </w:rPr>
          <w:t>Инструментариум за политики и управление</w:t>
        </w:r>
        <w:r>
          <w:t xml:space="preserve"> </w:t>
        </w:r>
        <w:r>
          <w:rPr>
            <w:u w:val="single" w:color="0000ED"/>
          </w:rPr>
          <w:t>в областта на водата</w:t>
        </w:r>
      </w:hyperlink>
      <w:r>
        <w:rPr>
          <w:color w:val="0000ED"/>
          <w:u w:val="single" w:color="0000ED"/>
        </w:rPr>
        <w:t>,</w:t>
      </w:r>
      <w:r>
        <w:t xml:space="preserve"> който да съдържа политики, договорености за управление и свързани инс</w:t>
      </w:r>
      <w:r>
        <w:t>трументи, въведени в страни, които са се присъединили към препоръката. Инструментариумът е предназначен да мотивира и подкрепя правителствата, които или са се присъединили към политиката, обмислят да се присъединят към нея или се стремят да отговорят на ст</w:t>
      </w:r>
      <w:r>
        <w:t>андарта на ОИСР. Правителствата ще намерят набор от инструменти и възможности, които могат да им помогнат да постигнат резултати в дневния ред в областта на водите. Инструментариумът беше официално представен от генералния секретар на ОИСР на Световния ден</w:t>
      </w:r>
      <w:r>
        <w:t xml:space="preserve"> на водата (22 март 2021 г.). Той беше допълнително разпространен в поредица от събития и конференции, свързани с водата, включително Международната седмица на водата в Стокхолм (м. август 2021 г.), Международната седмица на водата в Кайро (м. октомври 202</w:t>
      </w:r>
      <w:r>
        <w:t>1 г.), Международната седмица на водата в Азия (м. ноември 2021 г.) и Световния форум по водите (м. март 2022 г. ).</w:t>
      </w:r>
    </w:p>
    <w:p w14:paraId="58972786" w14:textId="77777777" w:rsidR="008A4B34" w:rsidRDefault="008A4B34">
      <w:pPr>
        <w:pStyle w:val="BodyText"/>
        <w:spacing w:before="9"/>
        <w:rPr>
          <w:sz w:val="17"/>
        </w:rPr>
      </w:pPr>
    </w:p>
    <w:p w14:paraId="58972787" w14:textId="77777777" w:rsidR="008A4B34" w:rsidRDefault="00931A60">
      <w:pPr>
        <w:pStyle w:val="Heading3"/>
        <w:spacing w:before="1" w:line="244" w:lineRule="auto"/>
        <w:jc w:val="left"/>
      </w:pPr>
      <w:r>
        <w:t>Доклад за 2020 г. относно прилагането, разпространението и продължаващото значение на</w:t>
      </w:r>
      <w:r>
        <w:t xml:space="preserve"> препоръката</w:t>
      </w:r>
    </w:p>
    <w:p w14:paraId="58972788" w14:textId="77777777" w:rsidR="008A4B34" w:rsidRDefault="008A4B34">
      <w:pPr>
        <w:spacing w:line="244" w:lineRule="auto"/>
        <w:sectPr w:rsidR="008A4B34">
          <w:pgSz w:w="11910" w:h="16840"/>
          <w:pgMar w:top="1320" w:right="1299" w:bottom="280" w:left="1300" w:header="849" w:footer="0" w:gutter="0"/>
          <w:cols w:space="720"/>
        </w:sectPr>
      </w:pPr>
    </w:p>
    <w:p w14:paraId="58972789" w14:textId="77777777" w:rsidR="008A4B34" w:rsidRDefault="00931A60">
      <w:pPr>
        <w:pStyle w:val="BodyText"/>
        <w:spacing w:before="85"/>
        <w:ind w:left="237" w:right="233"/>
        <w:jc w:val="both"/>
      </w:pPr>
      <w:r>
        <w:lastRenderedPageBreak/>
        <w:t>Докладът за 2020 г. отн</w:t>
      </w:r>
      <w:r>
        <w:t>осно прилагането на Препоръката за водите представя напредъка, постигнат от присъединилите се към нея страни към прилагането на Препоръката и представя заключения по отношение на продължаващото значение и разпространение на Препоръката. Докладът за 2020 г.</w:t>
      </w:r>
      <w:r>
        <w:t xml:space="preserve"> е разработен през 2019-2020 г. въз основа на обширен и приобщаващ хоризонтален консултативен процес, който да гарантира, че всеки орган на ОИСР със съответните компетенции допринася за констатациите в него. Актуализациите, свързани с процеса, както и по-р</w:t>
      </w:r>
      <w:r>
        <w:t>анните версии на доклада бяха споделени с всички свързани органи на ОИСР, за да се информират делегатите и да се предоставят възможности за обсъждане и оформяне на процеса на докладване. Това включва Работната група по биоразнообразие, води и екосистеми (W</w:t>
      </w:r>
      <w:r>
        <w:t>PBWE); Мрежата на икономическите регулатори (NER); Комисията по политика за регионално развитие (RDPC) и членовете на Инициативата за управление на водите (WGI); Съвместната работна група по земеделие и околна среда (JWPAE), както и Комитета по публично уп</w:t>
      </w:r>
      <w:r>
        <w:t>равление (PGC) чрез своя форум за високо ниво на риска (HLRF).</w:t>
      </w:r>
    </w:p>
    <w:p w14:paraId="5897278A" w14:textId="77777777" w:rsidR="008A4B34" w:rsidRDefault="008A4B34">
      <w:pPr>
        <w:pStyle w:val="BodyText"/>
        <w:spacing w:before="5"/>
        <w:rPr>
          <w:sz w:val="17"/>
        </w:rPr>
      </w:pPr>
    </w:p>
    <w:p w14:paraId="5897278B" w14:textId="77777777" w:rsidR="008A4B34" w:rsidRDefault="00931A60">
      <w:pPr>
        <w:pStyle w:val="BodyText"/>
        <w:ind w:left="237" w:right="234"/>
        <w:jc w:val="both"/>
      </w:pPr>
      <w:r>
        <w:t xml:space="preserve">Докладът за 2020 г. заключава, че практиките на присъединилите се страни до голяма степен са в съответствие с амбицията и съдържанието на препоръката. Това показва, че препоръката е помогнала </w:t>
      </w:r>
      <w:r>
        <w:t xml:space="preserve">на някои от присъединилите се страни да погледнат на управлението на водите по-стратегически и всеобхватно и проектират политики, за да планират управлението си и да разработват стратегии за финансиране по-съгласувано между всички въпроси, свързани с тези </w:t>
      </w:r>
      <w:r>
        <w:t>политики. Тя повдига редица въпроси, които биха могли да бъдат проучени в бъдещата работа, за да се улесни допълнително спазването на препоръката от присъединилите се страни и да се гарантира, че препоръката остава актуална. Те включват по-нататъшно проучв</w:t>
      </w:r>
      <w:r>
        <w:t xml:space="preserve">ане и разбиране на значението на изменението на климата за предизвикателствата, свързани с водата, с които страните могат да се сблъскат в бъдеще (включително връзките с общественото здраве); необходимостта от повишаване на нивата на инвестициите във вода </w:t>
      </w:r>
      <w:r>
        <w:t>във фискално ограничени среди, белязани от COVID-19; и засилване на използването на данни в подкрепа на дискусиите за политиката в областта на водите в страните. Предлага се да продължи да подкрепя усилията на присъединилите се страни и да докладва на Съве</w:t>
      </w:r>
      <w:r>
        <w:t>та относно прилагането, разпространението и продължаващото значение на препоръката.</w:t>
      </w:r>
    </w:p>
    <w:p w14:paraId="5897278C" w14:textId="77777777" w:rsidR="008A4B34" w:rsidRDefault="008A4B34">
      <w:pPr>
        <w:jc w:val="both"/>
        <w:sectPr w:rsidR="008A4B34">
          <w:pgSz w:w="11910" w:h="16840"/>
          <w:pgMar w:top="1320" w:right="1299" w:bottom="280" w:left="1300" w:header="849" w:footer="0" w:gutter="0"/>
          <w:cols w:space="720"/>
        </w:sectPr>
      </w:pPr>
    </w:p>
    <w:p w14:paraId="5897278D" w14:textId="77777777" w:rsidR="008A4B34" w:rsidRDefault="00931A60">
      <w:pPr>
        <w:spacing w:before="88"/>
        <w:ind w:left="116"/>
        <w:jc w:val="both"/>
        <w:rPr>
          <w:b/>
          <w:sz w:val="20"/>
        </w:rPr>
      </w:pPr>
      <w:r>
        <w:rPr>
          <w:b/>
          <w:sz w:val="20"/>
        </w:rPr>
        <w:lastRenderedPageBreak/>
        <w:t>СЪВЕТЪТ,</w:t>
      </w:r>
    </w:p>
    <w:p w14:paraId="5897278E" w14:textId="77777777" w:rsidR="008A4B34" w:rsidRDefault="008A4B34">
      <w:pPr>
        <w:pStyle w:val="BodyText"/>
        <w:spacing w:before="1"/>
        <w:rPr>
          <w:b/>
          <w:sz w:val="24"/>
        </w:rPr>
      </w:pPr>
    </w:p>
    <w:p w14:paraId="5897278F" w14:textId="77777777" w:rsidR="008A4B34" w:rsidRDefault="00931A60">
      <w:pPr>
        <w:pStyle w:val="BodyText"/>
        <w:spacing w:line="278" w:lineRule="auto"/>
        <w:ind w:left="116" w:right="114"/>
        <w:jc w:val="both"/>
      </w:pPr>
      <w:r>
        <w:rPr>
          <w:b/>
        </w:rPr>
        <w:t>КАТО ВЗЕ ПРЕДВИД</w:t>
      </w:r>
      <w:r>
        <w:t xml:space="preserve"> член 5б) от Конвенцията за Организацията за икономическо сътрудничество и развитие от 14 декември 1960 г.;</w:t>
      </w:r>
    </w:p>
    <w:p w14:paraId="58972790" w14:textId="77777777" w:rsidR="008A4B34" w:rsidRDefault="008A4B34">
      <w:pPr>
        <w:pStyle w:val="BodyText"/>
        <w:spacing w:before="4"/>
      </w:pPr>
    </w:p>
    <w:p w14:paraId="58972791" w14:textId="77777777" w:rsidR="008A4B34" w:rsidRDefault="00931A60">
      <w:pPr>
        <w:pStyle w:val="BodyText"/>
        <w:spacing w:line="276" w:lineRule="auto"/>
        <w:ind w:left="116" w:right="111"/>
        <w:jc w:val="both"/>
      </w:pPr>
      <w:r>
        <w:rPr>
          <w:b/>
        </w:rPr>
        <w:t>КАТО ВЗЕ ПРЕДВИД</w:t>
      </w:r>
      <w:r>
        <w:t xml:space="preserve"> Препоръката на Съвета относно ръководните принципи за международните икономически аспекти на политиките в областта на околната сре</w:t>
      </w:r>
      <w:r>
        <w:t>да [C(72)128]; препоръката на Съвета относно прилагането на принципа „замърсителят плаща“ [C(74)223]; препоръката на Съвета относно принципите на трансгранично замърсяване [C(74)224]; препоръката на Съвета относно прилагането на принципа „замърсителят плащ</w:t>
      </w:r>
      <w:r>
        <w:t>а“ към случайно замърсяване [C(89)88/FINAL]; препоръката на Съвета относно използването на икономически инструменти в политиките в областта на околната среда [C(90)177]; препоръката на Съвета за интегрирано управление на крайбрежните зони [C(92)114/FINAL];</w:t>
      </w:r>
      <w:r>
        <w:t xml:space="preserve"> препоръката на Съвета за регулаторна политика и управление [C(2012)37]; препоръката на Съвета относно публичното управление на публично-частните партньорства [C(2012)86]; препоръката на Съвета за управление на критичните рискове [C/MIN(2014)8/FINAL]; и Пр</w:t>
      </w:r>
      <w:r>
        <w:t>епоръката на Съвета за ефективни публични инвестиции на всички нива на управление [C(2014)32];</w:t>
      </w:r>
    </w:p>
    <w:p w14:paraId="58972792" w14:textId="77777777" w:rsidR="008A4B34" w:rsidRDefault="008A4B34">
      <w:pPr>
        <w:pStyle w:val="BodyText"/>
        <w:spacing w:before="10"/>
      </w:pPr>
    </w:p>
    <w:p w14:paraId="58972793" w14:textId="77777777" w:rsidR="008A4B34" w:rsidRDefault="00931A60">
      <w:pPr>
        <w:pStyle w:val="BodyText"/>
        <w:spacing w:line="276" w:lineRule="auto"/>
        <w:ind w:left="116" w:right="119"/>
        <w:jc w:val="both"/>
      </w:pPr>
      <w:r>
        <w:rPr>
          <w:b/>
        </w:rPr>
        <w:t>КАТО ВЗЕ ПРЕДВИД</w:t>
      </w:r>
      <w:r>
        <w:t xml:space="preserve"> препоръката на Съвета за контрол на еутрофикацията на водите [C(74)220]; препоръката на Съвета за стратегии за контрол на специфичните замърсит</w:t>
      </w:r>
      <w:r>
        <w:t>ели на водата [C(74)221]; препоръката на Съвета по политиките и инструментите за управление на водите [C(78)4/FINAL]; и препоръката на Съвета по политиките за управление на водните ресурси: Интеграция, управление на търсенето и защита на подземните води [C</w:t>
      </w:r>
      <w:r>
        <w:t>(89)12/ FINAL], която е заменена от настоящата препоръка;</w:t>
      </w:r>
    </w:p>
    <w:p w14:paraId="58972794" w14:textId="77777777" w:rsidR="008A4B34" w:rsidRDefault="008A4B34">
      <w:pPr>
        <w:pStyle w:val="BodyText"/>
        <w:rPr>
          <w:sz w:val="21"/>
        </w:rPr>
      </w:pPr>
    </w:p>
    <w:p w14:paraId="58972795" w14:textId="77777777" w:rsidR="008A4B34" w:rsidRDefault="00931A60">
      <w:pPr>
        <w:pStyle w:val="BodyText"/>
        <w:spacing w:line="276" w:lineRule="auto"/>
        <w:ind w:left="116" w:right="111"/>
        <w:jc w:val="both"/>
      </w:pPr>
      <w:r>
        <w:rPr>
          <w:b/>
        </w:rPr>
        <w:t>КАТО ВЗЕ ПРЕДВИД</w:t>
      </w:r>
      <w:r>
        <w:t xml:space="preserve"> принципите на ОИСР за управление на водите, приветствани от министрите на срещата на Съвета на министерско ниво през 2015 г. [C/MIN(2015)12], които са отразени в раздел VI от насто</w:t>
      </w:r>
      <w:r>
        <w:t>ящата препоръка и които ще ръководят прилагането на този раздел;</w:t>
      </w:r>
    </w:p>
    <w:p w14:paraId="58972796" w14:textId="77777777" w:rsidR="008A4B34" w:rsidRDefault="008A4B34">
      <w:pPr>
        <w:pStyle w:val="BodyText"/>
        <w:spacing w:before="9"/>
      </w:pPr>
    </w:p>
    <w:p w14:paraId="58972797" w14:textId="77777777" w:rsidR="008A4B34" w:rsidRDefault="00931A60">
      <w:pPr>
        <w:pStyle w:val="BodyText"/>
        <w:spacing w:line="278" w:lineRule="auto"/>
        <w:ind w:left="116" w:right="123"/>
        <w:jc w:val="both"/>
      </w:pPr>
      <w:r>
        <w:rPr>
          <w:b/>
        </w:rPr>
        <w:t>КАТО ВЗЕ ПРЕДВИД</w:t>
      </w:r>
      <w:r>
        <w:t xml:space="preserve"> изявлението на Съвета на министрите от 2015 г., в което министрите поканиха ОИСР да разработи препоръка, която актуализира и консолидира съществуващите препоръки относно вод</w:t>
      </w:r>
      <w:r>
        <w:t>ата [C/MIN(2015)14/FINAL];</w:t>
      </w:r>
    </w:p>
    <w:p w14:paraId="58972798" w14:textId="77777777" w:rsidR="008A4B34" w:rsidRDefault="008A4B34">
      <w:pPr>
        <w:pStyle w:val="BodyText"/>
        <w:spacing w:before="4"/>
      </w:pPr>
    </w:p>
    <w:p w14:paraId="58972799" w14:textId="77777777" w:rsidR="008A4B34" w:rsidRDefault="00931A60">
      <w:pPr>
        <w:pStyle w:val="BodyText"/>
        <w:spacing w:line="276" w:lineRule="auto"/>
        <w:ind w:left="116" w:right="119"/>
        <w:jc w:val="both"/>
      </w:pPr>
      <w:r>
        <w:rPr>
          <w:b/>
        </w:rPr>
        <w:t>КАТО ВЗЕ ПРЕДВИД</w:t>
      </w:r>
      <w:r>
        <w:t xml:space="preserve"> Програмата за устойчиво развитие до 2030 г. (A/RES/70/1), Програмата за действие от Адис Абеба от 2015 г., Конвенцията за биологичното разнообразие от 1992 г., Рамката от Сендай от 2015 г. за намаляване на риска</w:t>
      </w:r>
      <w:r>
        <w:t xml:space="preserve"> от бедствия, Парижкото споразумение от 2015 г. Рамковата конвенция за изменението на климата и Резолюцията на Общото събрание относно правата на човека за безопасна питейна вода и канализация (A/RES/70/169);</w:t>
      </w:r>
    </w:p>
    <w:p w14:paraId="5897279A" w14:textId="77777777" w:rsidR="008A4B34" w:rsidRDefault="008A4B34">
      <w:pPr>
        <w:pStyle w:val="BodyText"/>
        <w:spacing w:before="10"/>
      </w:pPr>
    </w:p>
    <w:p w14:paraId="5897279B" w14:textId="77777777" w:rsidR="008A4B34" w:rsidRDefault="00931A60">
      <w:pPr>
        <w:pStyle w:val="BodyText"/>
        <w:spacing w:line="276" w:lineRule="auto"/>
        <w:ind w:left="116" w:right="115"/>
        <w:jc w:val="both"/>
      </w:pPr>
      <w:r>
        <w:rPr>
          <w:b/>
        </w:rPr>
        <w:t>КАТО ОТЧЕТЕ,</w:t>
      </w:r>
      <w:r>
        <w:t xml:space="preserve"> че водата е от съществено значени</w:t>
      </w:r>
      <w:r>
        <w:t>е за живота по много различни начини, включително за екосистемите, от които зависи целият живот и редица човешки дейности; че достъпът до безопасна питейна вода и канализация насърчава прогресивното реализиране на правата на човека и общото благосъстояние,</w:t>
      </w:r>
      <w:r>
        <w:t xml:space="preserve"> включително равенството между половете; и че смекчаването на водните рискове е предпоставка за устойчив растеж, социално включване и продоволствена и енергийна сигурност, както е обхванато от връзката вода-храна-енергия;</w:t>
      </w:r>
    </w:p>
    <w:p w14:paraId="5897279C" w14:textId="77777777" w:rsidR="008A4B34" w:rsidRDefault="008A4B34">
      <w:pPr>
        <w:pStyle w:val="BodyText"/>
        <w:spacing w:before="11"/>
      </w:pPr>
    </w:p>
    <w:p w14:paraId="5897279D" w14:textId="77777777" w:rsidR="008A4B34" w:rsidRDefault="00931A60">
      <w:pPr>
        <w:pStyle w:val="BodyText"/>
        <w:spacing w:line="276" w:lineRule="auto"/>
        <w:ind w:left="116" w:right="116"/>
        <w:jc w:val="both"/>
      </w:pPr>
      <w:r>
        <w:rPr>
          <w:b/>
        </w:rPr>
        <w:t>КАТО ПРИЗНАВА,</w:t>
      </w:r>
      <w:r>
        <w:t xml:space="preserve"> че управлението на</w:t>
      </w:r>
      <w:r>
        <w:t xml:space="preserve"> водите обхваща пресни повърхностни и подпочвени води (които играят решаваща роля за снабдяването, съхранението и почистването на вода и са уязвими към неустойчиви практики), както и крайбрежните екосистеми (чиито качество може да бъде засегнато от управле</w:t>
      </w:r>
      <w:r>
        <w:t>нието на сладката вода, с последствия относно морските екосистеми и икономически дейности);</w:t>
      </w:r>
    </w:p>
    <w:p w14:paraId="5897279E" w14:textId="77777777" w:rsidR="008A4B34" w:rsidRDefault="008A4B34">
      <w:pPr>
        <w:pStyle w:val="BodyText"/>
        <w:spacing w:before="10"/>
      </w:pPr>
    </w:p>
    <w:p w14:paraId="5897279F" w14:textId="77777777" w:rsidR="008A4B34" w:rsidRDefault="00931A60">
      <w:pPr>
        <w:pStyle w:val="BodyText"/>
        <w:spacing w:before="1" w:line="276" w:lineRule="auto"/>
        <w:ind w:left="116" w:right="116"/>
        <w:jc w:val="both"/>
      </w:pPr>
      <w:r>
        <w:rPr>
          <w:b/>
        </w:rPr>
        <w:t>КАТО ОТЧЕТЕ,</w:t>
      </w:r>
      <w:r>
        <w:t xml:space="preserve"> че политиката за водите е споделена отговорност между националните и местните нива на управление; че в различните страни се прилагат различни мандати и нива на автономия; че прилагането на управлението на водите трябва да бъде координирано, съгласувано и </w:t>
      </w:r>
      <w:r>
        <w:t>последователно във всички</w:t>
      </w:r>
    </w:p>
    <w:p w14:paraId="589727A0" w14:textId="77777777" w:rsidR="008A4B34" w:rsidRDefault="008A4B34">
      <w:pPr>
        <w:spacing w:line="276" w:lineRule="auto"/>
        <w:jc w:val="both"/>
        <w:sectPr w:rsidR="008A4B34">
          <w:pgSz w:w="11910" w:h="16840"/>
          <w:pgMar w:top="1320" w:right="1300" w:bottom="280" w:left="1300" w:header="849" w:footer="0" w:gutter="0"/>
          <w:cols w:space="720"/>
        </w:sectPr>
      </w:pPr>
    </w:p>
    <w:p w14:paraId="589727A1" w14:textId="77777777" w:rsidR="008A4B34" w:rsidRDefault="00931A60">
      <w:pPr>
        <w:pStyle w:val="BodyText"/>
        <w:spacing w:before="90" w:line="278" w:lineRule="auto"/>
        <w:ind w:left="116" w:right="112"/>
        <w:jc w:val="both"/>
      </w:pPr>
      <w:r>
        <w:lastRenderedPageBreak/>
        <w:t>нива на управление; и че тази препоръка е съответно приложима за националните и местните нива на управление;</w:t>
      </w:r>
    </w:p>
    <w:p w14:paraId="589727A2" w14:textId="77777777" w:rsidR="008A4B34" w:rsidRPr="00FF507B" w:rsidRDefault="008A4B34">
      <w:pPr>
        <w:pStyle w:val="BodyText"/>
        <w:spacing w:before="5"/>
        <w:rPr>
          <w:sz w:val="4"/>
          <w:szCs w:val="4"/>
        </w:rPr>
      </w:pPr>
    </w:p>
    <w:p w14:paraId="589727A3" w14:textId="77777777" w:rsidR="008A4B34" w:rsidRDefault="00931A60">
      <w:pPr>
        <w:pStyle w:val="BodyText"/>
        <w:spacing w:line="276" w:lineRule="auto"/>
        <w:ind w:left="116" w:right="114"/>
        <w:jc w:val="both"/>
      </w:pPr>
      <w:r>
        <w:rPr>
          <w:b/>
        </w:rPr>
        <w:t>КАТО ПРИЗНАВА,</w:t>
      </w:r>
      <w:r>
        <w:t xml:space="preserve"> че водните ресурси и свързаните с водата екосистеми имат естествени био-физични характе</w:t>
      </w:r>
      <w:r>
        <w:t>ристики, които могат или не могат да съответстват на административните граници, и че трансграничното водно сътрудничество между крайбрежните държави, основано на печеливши решения, може да допринесе за устойчиво развитие и управление на водните ресурси;</w:t>
      </w:r>
    </w:p>
    <w:p w14:paraId="589727A4" w14:textId="77777777" w:rsidR="008A4B34" w:rsidRPr="00FF507B" w:rsidRDefault="008A4B34">
      <w:pPr>
        <w:pStyle w:val="BodyText"/>
        <w:spacing w:before="10"/>
        <w:rPr>
          <w:sz w:val="4"/>
          <w:szCs w:val="4"/>
        </w:rPr>
      </w:pPr>
    </w:p>
    <w:p w14:paraId="589727A5" w14:textId="77777777" w:rsidR="008A4B34" w:rsidRDefault="00931A60">
      <w:pPr>
        <w:pStyle w:val="BodyText"/>
        <w:spacing w:before="1" w:line="276" w:lineRule="auto"/>
        <w:ind w:left="116" w:right="116"/>
        <w:jc w:val="both"/>
      </w:pPr>
      <w:r>
        <w:rPr>
          <w:b/>
        </w:rPr>
        <w:t>К</w:t>
      </w:r>
      <w:r>
        <w:rPr>
          <w:b/>
        </w:rPr>
        <w:t>АТО ОТЧЕТЕ,</w:t>
      </w:r>
      <w:r>
        <w:t xml:space="preserve"> че е необходим интегриран подход за управление на водата и свързаните с водата екосистеми, тъй като водните ресурси и водните услуги са засегнати от инициативи, предприети в широк спектър от области на политиката (напр. финанси, използване на з</w:t>
      </w:r>
      <w:r>
        <w:t>емята, горско стопанство, градско развитие, производство на енергия, смекчаване и адаптиране към изменението на климата, минно дело, селско стопанство, транспорт, инфраструктура);</w:t>
      </w:r>
    </w:p>
    <w:p w14:paraId="589727A6" w14:textId="77777777" w:rsidR="008A4B34" w:rsidRPr="00FF507B" w:rsidRDefault="008A4B34">
      <w:pPr>
        <w:pStyle w:val="BodyText"/>
        <w:spacing w:before="8"/>
        <w:rPr>
          <w:sz w:val="4"/>
          <w:szCs w:val="4"/>
        </w:rPr>
      </w:pPr>
    </w:p>
    <w:p w14:paraId="589727A7" w14:textId="77777777" w:rsidR="008A4B34" w:rsidRDefault="00931A60">
      <w:pPr>
        <w:pStyle w:val="BodyText"/>
        <w:spacing w:line="276" w:lineRule="auto"/>
        <w:ind w:left="116" w:right="115"/>
        <w:jc w:val="both"/>
      </w:pPr>
      <w:r>
        <w:rPr>
          <w:b/>
        </w:rPr>
        <w:t>КАТО ПРИЗНАВА</w:t>
      </w:r>
      <w:r>
        <w:t xml:space="preserve"> също, че управлението на водата и свързаните с водата екосист</w:t>
      </w:r>
      <w:r>
        <w:t>еми преследва няколко цели, включително: опазването и възстановяването на водните ресурси и на свързаните с водата екосистеми и техния капацитет да предоставят основни услуги; опазването и възстановяването на хидроложкия цикъл; осигуряване на адекватно вод</w:t>
      </w:r>
      <w:r>
        <w:t>оснабдяване навреме, както по отношение на количеството, така и по отношение на качеството, за задоволяване на битови, екологични, промишлени, селскостопански и други нужди във времето; управлението на водните услуги; управлението на компромисите за баланс</w:t>
      </w:r>
      <w:r>
        <w:t>иране на предлагането и потреблението на вода; предотвратяването и управлението на рисковете от бедствия, свързани с водата, и адаптирането към последиците от изменението на климата.</w:t>
      </w:r>
    </w:p>
    <w:p w14:paraId="589727A8" w14:textId="77777777" w:rsidR="008A4B34" w:rsidRPr="00FF507B" w:rsidRDefault="008A4B34">
      <w:pPr>
        <w:pStyle w:val="BodyText"/>
        <w:rPr>
          <w:sz w:val="4"/>
          <w:szCs w:val="4"/>
        </w:rPr>
      </w:pPr>
    </w:p>
    <w:p w14:paraId="589727A9" w14:textId="77777777" w:rsidR="008A4B34" w:rsidRDefault="00931A60">
      <w:pPr>
        <w:pStyle w:val="Heading2"/>
        <w:spacing w:line="276" w:lineRule="auto"/>
        <w:ind w:right="116" w:firstLine="0"/>
        <w:jc w:val="both"/>
      </w:pPr>
      <w:r>
        <w:t>По предложение на Комитета по екологична политика и в сътрудничество със съответните комисии, по-специално Комисията по земеделие, Комисията по политика за регионално развитие, Комисията по регулаторна политика и Комисията за подпомагане на развитието:</w:t>
      </w:r>
    </w:p>
    <w:p w14:paraId="589727AA" w14:textId="77777777" w:rsidR="008A4B34" w:rsidRPr="00FF507B" w:rsidRDefault="008A4B34">
      <w:pPr>
        <w:pStyle w:val="BodyText"/>
        <w:spacing w:before="11"/>
        <w:rPr>
          <w:b/>
          <w:sz w:val="4"/>
          <w:szCs w:val="4"/>
        </w:rPr>
      </w:pPr>
    </w:p>
    <w:p w14:paraId="589727AB" w14:textId="77777777" w:rsidR="008A4B34" w:rsidRDefault="00931A60">
      <w:pPr>
        <w:pStyle w:val="ListParagraph"/>
        <w:numPr>
          <w:ilvl w:val="0"/>
          <w:numId w:val="10"/>
        </w:numPr>
        <w:tabs>
          <w:tab w:val="left" w:pos="836"/>
          <w:tab w:val="left" w:pos="837"/>
        </w:tabs>
        <w:spacing w:line="278" w:lineRule="auto"/>
        <w:ind w:right="122" w:firstLine="0"/>
        <w:rPr>
          <w:sz w:val="20"/>
        </w:rPr>
      </w:pPr>
      <w:r>
        <w:rPr>
          <w:b/>
          <w:bCs/>
          <w:sz w:val="20"/>
        </w:rPr>
        <w:t>СЕ</w:t>
      </w:r>
      <w:r>
        <w:rPr>
          <w:sz w:val="20"/>
        </w:rPr>
        <w:t xml:space="preserve"> </w:t>
      </w:r>
      <w:r>
        <w:rPr>
          <w:b/>
          <w:sz w:val="20"/>
        </w:rPr>
        <w:t>СЪГЛАСЯВА,</w:t>
      </w:r>
      <w:r>
        <w:rPr>
          <w:sz w:val="20"/>
        </w:rPr>
        <w:t xml:space="preserve"> че за целите на настоящата препоръка се прилагат следните определения:</w:t>
      </w:r>
    </w:p>
    <w:p w14:paraId="589727AC" w14:textId="77777777" w:rsidR="008A4B34" w:rsidRPr="00FF507B" w:rsidRDefault="008A4B34">
      <w:pPr>
        <w:pStyle w:val="BodyText"/>
        <w:spacing w:before="8"/>
        <w:rPr>
          <w:sz w:val="4"/>
          <w:szCs w:val="4"/>
        </w:rPr>
      </w:pPr>
    </w:p>
    <w:p w14:paraId="589727AD" w14:textId="77777777" w:rsidR="008A4B34" w:rsidRDefault="00931A60">
      <w:pPr>
        <w:pStyle w:val="ListParagraph"/>
        <w:numPr>
          <w:ilvl w:val="1"/>
          <w:numId w:val="10"/>
        </w:numPr>
        <w:tabs>
          <w:tab w:val="left" w:pos="830"/>
        </w:tabs>
        <w:spacing w:line="237" w:lineRule="auto"/>
        <w:ind w:right="113"/>
        <w:rPr>
          <w:sz w:val="20"/>
        </w:rPr>
      </w:pPr>
      <w:r>
        <w:rPr>
          <w:sz w:val="20"/>
        </w:rPr>
        <w:t>Зелената инфраструктура в контекста на управлението на водните ресурси е стратегически планирана мрежа от естествени и полуестествени райони с други елементи на околната среда, която е конструирана и се управлява така, че да осигурява най-разнообразни екос</w:t>
      </w:r>
      <w:r>
        <w:rPr>
          <w:sz w:val="20"/>
        </w:rPr>
        <w:t>истемни услуги.</w:t>
      </w:r>
    </w:p>
    <w:p w14:paraId="589727AE" w14:textId="77777777" w:rsidR="008A4B34" w:rsidRDefault="00931A60">
      <w:pPr>
        <w:pStyle w:val="ListParagraph"/>
        <w:numPr>
          <w:ilvl w:val="1"/>
          <w:numId w:val="10"/>
        </w:numPr>
        <w:tabs>
          <w:tab w:val="left" w:pos="830"/>
        </w:tabs>
        <w:spacing w:before="122" w:line="237" w:lineRule="auto"/>
        <w:ind w:right="126"/>
        <w:rPr>
          <w:sz w:val="20"/>
        </w:rPr>
      </w:pPr>
      <w:r>
        <w:rPr>
          <w:sz w:val="20"/>
        </w:rPr>
        <w:t>Мащабът (за управление на водите) се отнася до множеството географски и административни единици, които са от значение за управлението на водните ресурси и водните услуги, като водосборен басейн, град, басейн, регионално, национално или тран</w:t>
      </w:r>
      <w:r>
        <w:rPr>
          <w:sz w:val="20"/>
        </w:rPr>
        <w:t>сгранично ниво.</w:t>
      </w:r>
    </w:p>
    <w:p w14:paraId="589727AF" w14:textId="77777777" w:rsidR="008A4B34" w:rsidRDefault="00931A60">
      <w:pPr>
        <w:pStyle w:val="ListParagraph"/>
        <w:numPr>
          <w:ilvl w:val="1"/>
          <w:numId w:val="10"/>
        </w:numPr>
        <w:tabs>
          <w:tab w:val="left" w:pos="830"/>
        </w:tabs>
        <w:spacing w:before="121"/>
        <w:ind w:right="114"/>
        <w:rPr>
          <w:sz w:val="20"/>
        </w:rPr>
      </w:pPr>
      <w:r>
        <w:rPr>
          <w:sz w:val="20"/>
        </w:rPr>
        <w:t>Режимът на разпределяне на вода се отнася до комбинацията от политики, механизми и договорености за управление (напр. права, лицензи, разрешителни), използвани за определяне на кого е разрешено да черпи вода от ресурсен басейн, колко може д</w:t>
      </w:r>
      <w:r>
        <w:rPr>
          <w:sz w:val="20"/>
        </w:rPr>
        <w:t>а бъде взето и кога, както и колко трябва да бъдат върнати (и с какво качество; например за защита и възстановяване на свързани с водата екосистеми) и условията, свързани с използването на тази вода. В този документ разпределението на водата се отнася до н</w:t>
      </w:r>
      <w:r>
        <w:rPr>
          <w:sz w:val="20"/>
        </w:rPr>
        <w:t>ационалните части на реките, езерата и водоносните слоеве.</w:t>
      </w:r>
    </w:p>
    <w:p w14:paraId="589727B0" w14:textId="77777777" w:rsidR="008A4B34" w:rsidRDefault="00931A60">
      <w:pPr>
        <w:pStyle w:val="ListParagraph"/>
        <w:numPr>
          <w:ilvl w:val="1"/>
          <w:numId w:val="10"/>
        </w:numPr>
        <w:tabs>
          <w:tab w:val="left" w:pos="830"/>
        </w:tabs>
        <w:spacing w:before="115" w:line="237" w:lineRule="auto"/>
        <w:ind w:right="125"/>
        <w:rPr>
          <w:sz w:val="20"/>
        </w:rPr>
      </w:pPr>
      <w:r>
        <w:rPr>
          <w:sz w:val="20"/>
        </w:rPr>
        <w:t>Правото на вода се отнася до правото за черпене и използване на вода от определен басейн от водни ресурси, което може също да бъде определено като право на вода, право на ползватели на вода, догово</w:t>
      </w:r>
      <w:r>
        <w:rPr>
          <w:sz w:val="20"/>
        </w:rPr>
        <w:t>р за вода, лиценз или разрешително за водочерпене.</w:t>
      </w:r>
    </w:p>
    <w:p w14:paraId="589727B1" w14:textId="77777777" w:rsidR="008A4B34" w:rsidRDefault="00931A60">
      <w:pPr>
        <w:pStyle w:val="ListParagraph"/>
        <w:numPr>
          <w:ilvl w:val="1"/>
          <w:numId w:val="10"/>
        </w:numPr>
        <w:tabs>
          <w:tab w:val="left" w:pos="830"/>
        </w:tabs>
        <w:spacing w:before="125" w:line="235" w:lineRule="auto"/>
        <w:ind w:right="124"/>
        <w:rPr>
          <w:sz w:val="20"/>
        </w:rPr>
      </w:pPr>
      <w:r>
        <w:rPr>
          <w:sz w:val="20"/>
        </w:rPr>
        <w:t>Водните ресурси се отнасят до водата, която се среща на повърхността (т.е. езера, реки, влажни зони, устия и крайбрежни зони) и подземни води.</w:t>
      </w:r>
    </w:p>
    <w:p w14:paraId="589727B2" w14:textId="77777777" w:rsidR="008A4B34" w:rsidRDefault="00931A60">
      <w:pPr>
        <w:pStyle w:val="ListParagraph"/>
        <w:numPr>
          <w:ilvl w:val="1"/>
          <w:numId w:val="10"/>
        </w:numPr>
        <w:tabs>
          <w:tab w:val="left" w:pos="830"/>
        </w:tabs>
        <w:spacing w:before="123" w:line="237" w:lineRule="auto"/>
        <w:ind w:right="124"/>
        <w:rPr>
          <w:sz w:val="20"/>
        </w:rPr>
      </w:pPr>
      <w:r>
        <w:rPr>
          <w:sz w:val="20"/>
        </w:rPr>
        <w:t>Водните рискове се отнасят до рисковете, по отношение на тяхна</w:t>
      </w:r>
      <w:r>
        <w:rPr>
          <w:sz w:val="20"/>
        </w:rPr>
        <w:t>та потенциална вероятност и въздействие, от недостиг на вода (напр. засушавания), излишък от вода (напр. наводнения), замърсяване на водата и рисковете от подкопаване на устойчивостта на свързаните с водата екосистеми.</w:t>
      </w:r>
    </w:p>
    <w:p w14:paraId="589727B3" w14:textId="77777777" w:rsidR="008A4B34" w:rsidRDefault="00931A60">
      <w:pPr>
        <w:pStyle w:val="ListParagraph"/>
        <w:numPr>
          <w:ilvl w:val="1"/>
          <w:numId w:val="10"/>
        </w:numPr>
        <w:tabs>
          <w:tab w:val="left" w:pos="830"/>
        </w:tabs>
        <w:spacing w:before="122" w:line="237" w:lineRule="auto"/>
        <w:ind w:right="115"/>
        <w:rPr>
          <w:sz w:val="20"/>
        </w:rPr>
      </w:pPr>
      <w:r>
        <w:rPr>
          <w:sz w:val="20"/>
        </w:rPr>
        <w:t>Свързаните с водата бедствия се отнас</w:t>
      </w:r>
      <w:r>
        <w:rPr>
          <w:sz w:val="20"/>
        </w:rPr>
        <w:t>ят до наводнения, засушавания, замърсяване на водата и огнища на болести, свързани с водата, които имат силно въздействие върху здравето, благосъстоянието, активите и екосистемите и които имат пагубно въздействие върху продоволствената и енергийната сигурн</w:t>
      </w:r>
      <w:r>
        <w:rPr>
          <w:sz w:val="20"/>
        </w:rPr>
        <w:t>ост, цените на суровините, международните отношения или могат да водят до социални безредици.</w:t>
      </w:r>
    </w:p>
    <w:p w14:paraId="589727B4" w14:textId="77777777" w:rsidR="008A4B34" w:rsidRDefault="008A4B34">
      <w:pPr>
        <w:spacing w:line="237" w:lineRule="auto"/>
        <w:jc w:val="both"/>
        <w:rPr>
          <w:sz w:val="20"/>
        </w:rPr>
        <w:sectPr w:rsidR="008A4B34">
          <w:pgSz w:w="11910" w:h="16840"/>
          <w:pgMar w:top="1320" w:right="1300" w:bottom="280" w:left="1300" w:header="849" w:footer="0" w:gutter="0"/>
          <w:cols w:space="720"/>
        </w:sectPr>
      </w:pPr>
    </w:p>
    <w:p w14:paraId="589727B5" w14:textId="77777777" w:rsidR="008A4B34" w:rsidRDefault="00931A60">
      <w:pPr>
        <w:pStyle w:val="ListParagraph"/>
        <w:numPr>
          <w:ilvl w:val="1"/>
          <w:numId w:val="10"/>
        </w:numPr>
        <w:tabs>
          <w:tab w:val="left" w:pos="830"/>
        </w:tabs>
        <w:spacing w:before="91" w:line="237" w:lineRule="auto"/>
        <w:ind w:right="117"/>
        <w:rPr>
          <w:sz w:val="20"/>
        </w:rPr>
      </w:pPr>
      <w:r>
        <w:rPr>
          <w:sz w:val="20"/>
        </w:rPr>
        <w:lastRenderedPageBreak/>
        <w:t>Свързаните с водата екосистеми включват влажни зони, реки, водоносни слоеве, езера и взаимосвързани компоненти на околния ландшафт (планини и го</w:t>
      </w:r>
      <w:r>
        <w:rPr>
          <w:sz w:val="20"/>
        </w:rPr>
        <w:t>ри). Те включват и крайбрежни екосистеми.</w:t>
      </w:r>
    </w:p>
    <w:p w14:paraId="589727B6" w14:textId="77777777" w:rsidR="008A4B34" w:rsidRDefault="00931A60">
      <w:pPr>
        <w:pStyle w:val="ListParagraph"/>
        <w:numPr>
          <w:ilvl w:val="1"/>
          <w:numId w:val="10"/>
        </w:numPr>
        <w:tabs>
          <w:tab w:val="left" w:pos="830"/>
        </w:tabs>
        <w:spacing w:before="123" w:line="237" w:lineRule="auto"/>
        <w:ind w:right="128"/>
        <w:rPr>
          <w:sz w:val="20"/>
        </w:rPr>
      </w:pPr>
      <w:r>
        <w:rPr>
          <w:sz w:val="20"/>
        </w:rPr>
        <w:t>Водните услуги се отнасят до услуги, които черпят и пренасят вода до мястото, където се използва, и които събират и пречистват отпадъчните води, преди да бъдат използвани повторно или върнати в околната среда.</w:t>
      </w:r>
    </w:p>
    <w:p w14:paraId="589727B7" w14:textId="77777777" w:rsidR="008A4B34" w:rsidRDefault="00931A60">
      <w:pPr>
        <w:pStyle w:val="ListParagraph"/>
        <w:numPr>
          <w:ilvl w:val="1"/>
          <w:numId w:val="10"/>
        </w:numPr>
        <w:tabs>
          <w:tab w:val="left" w:pos="830"/>
        </w:tabs>
        <w:spacing w:before="119" w:line="237" w:lineRule="auto"/>
        <w:ind w:right="114"/>
        <w:rPr>
          <w:sz w:val="20"/>
        </w:rPr>
      </w:pPr>
      <w:r>
        <w:rPr>
          <w:sz w:val="20"/>
        </w:rPr>
        <w:t xml:space="preserve">Използването на вода се отнася до дейности и функции, които изискват определено количество вода в определено време и място и със специфично качество, включително селскостопански, промишлени, риболовни, развлекателни и транспортни дейности, производство на </w:t>
      </w:r>
      <w:r>
        <w:rPr>
          <w:sz w:val="20"/>
        </w:rPr>
        <w:t>енергия, битова употреба (включително питейна вода) и свързани с водата екосистемни и културни функции.</w:t>
      </w:r>
    </w:p>
    <w:p w14:paraId="589727B8" w14:textId="77777777" w:rsidR="008A4B34" w:rsidRPr="00FF507B" w:rsidRDefault="008A4B34">
      <w:pPr>
        <w:pStyle w:val="BodyText"/>
        <w:rPr>
          <w:sz w:val="6"/>
          <w:szCs w:val="6"/>
        </w:rPr>
      </w:pPr>
    </w:p>
    <w:p w14:paraId="589727B9" w14:textId="77777777" w:rsidR="008A4B34" w:rsidRDefault="00931A60">
      <w:pPr>
        <w:pStyle w:val="ListParagraph"/>
        <w:numPr>
          <w:ilvl w:val="0"/>
          <w:numId w:val="10"/>
        </w:numPr>
        <w:tabs>
          <w:tab w:val="left" w:pos="837"/>
        </w:tabs>
        <w:ind w:left="836" w:hanging="721"/>
        <w:jc w:val="both"/>
        <w:rPr>
          <w:sz w:val="20"/>
        </w:rPr>
      </w:pPr>
      <w:r>
        <w:rPr>
          <w:b/>
          <w:sz w:val="20"/>
        </w:rPr>
        <w:t>ПРЕПОРЪЧВА</w:t>
      </w:r>
      <w:r>
        <w:rPr>
          <w:sz w:val="20"/>
        </w:rPr>
        <w:t xml:space="preserve"> на страните членки и на тези, които не членуват в ОИСР, които са се присъединили към тази препоръка</w:t>
      </w:r>
    </w:p>
    <w:p w14:paraId="589727BA" w14:textId="77777777" w:rsidR="008A4B34" w:rsidRDefault="00931A60">
      <w:pPr>
        <w:pStyle w:val="BodyText"/>
        <w:spacing w:before="37"/>
        <w:ind w:left="116"/>
      </w:pPr>
      <w:r>
        <w:t>(наричани по-долу „Присъединили се стран</w:t>
      </w:r>
      <w:r>
        <w:t>и“), да създават и прилагат политики за водите, които:</w:t>
      </w:r>
    </w:p>
    <w:p w14:paraId="589727BB" w14:textId="77777777" w:rsidR="008A4B34" w:rsidRPr="00FF507B" w:rsidRDefault="008A4B34">
      <w:pPr>
        <w:pStyle w:val="BodyText"/>
        <w:spacing w:before="9"/>
        <w:rPr>
          <w:sz w:val="6"/>
          <w:szCs w:val="6"/>
        </w:rPr>
      </w:pPr>
    </w:p>
    <w:p w14:paraId="589727BC" w14:textId="77777777" w:rsidR="008A4B34" w:rsidRDefault="00931A60">
      <w:pPr>
        <w:pStyle w:val="ListParagraph"/>
        <w:numPr>
          <w:ilvl w:val="0"/>
          <w:numId w:val="9"/>
        </w:numPr>
        <w:tabs>
          <w:tab w:val="left" w:pos="837"/>
        </w:tabs>
        <w:ind w:hanging="721"/>
        <w:jc w:val="both"/>
        <w:rPr>
          <w:sz w:val="20"/>
        </w:rPr>
      </w:pPr>
      <w:r>
        <w:rPr>
          <w:sz w:val="20"/>
        </w:rPr>
        <w:t>Са пригодени към местните условия.</w:t>
      </w:r>
    </w:p>
    <w:p w14:paraId="589727BD" w14:textId="77777777" w:rsidR="008A4B34" w:rsidRPr="00FF507B" w:rsidRDefault="008A4B34">
      <w:pPr>
        <w:pStyle w:val="BodyText"/>
        <w:rPr>
          <w:sz w:val="6"/>
          <w:szCs w:val="6"/>
        </w:rPr>
      </w:pPr>
    </w:p>
    <w:p w14:paraId="589727BE" w14:textId="77777777" w:rsidR="008A4B34" w:rsidRDefault="00931A60">
      <w:pPr>
        <w:pStyle w:val="ListParagraph"/>
        <w:numPr>
          <w:ilvl w:val="0"/>
          <w:numId w:val="9"/>
        </w:numPr>
        <w:tabs>
          <w:tab w:val="left" w:pos="837"/>
        </w:tabs>
        <w:ind w:left="116" w:right="116" w:firstLine="0"/>
        <w:jc w:val="both"/>
        <w:rPr>
          <w:sz w:val="20"/>
        </w:rPr>
      </w:pPr>
      <w:r>
        <w:rPr>
          <w:sz w:val="20"/>
        </w:rPr>
        <w:t>Се основават на дългосрочни планове за управление на водите, за предпочитане на ниво речен басейн или водоносен слой и, според случая, в трансгранична рамка. Такива</w:t>
      </w:r>
      <w:r>
        <w:rPr>
          <w:sz w:val="20"/>
        </w:rPr>
        <w:t xml:space="preserve"> планове трябва да насърчават съвместното управление на повърхностните и подземните води и да бъдат редовно преглеждани и актуализирани. Те биха се възползвали от консултации със заинтересованите страни.</w:t>
      </w:r>
    </w:p>
    <w:p w14:paraId="589727BF" w14:textId="77777777" w:rsidR="008A4B34" w:rsidRPr="00FF507B" w:rsidRDefault="008A4B34">
      <w:pPr>
        <w:pStyle w:val="BodyText"/>
        <w:spacing w:before="9"/>
        <w:rPr>
          <w:sz w:val="6"/>
          <w:szCs w:val="6"/>
        </w:rPr>
      </w:pPr>
    </w:p>
    <w:p w14:paraId="589727C0" w14:textId="77777777" w:rsidR="008A4B34" w:rsidRDefault="00931A60">
      <w:pPr>
        <w:pStyle w:val="ListParagraph"/>
        <w:numPr>
          <w:ilvl w:val="0"/>
          <w:numId w:val="9"/>
        </w:numPr>
        <w:tabs>
          <w:tab w:val="left" w:pos="837"/>
        </w:tabs>
        <w:ind w:left="116" w:right="124" w:firstLine="0"/>
        <w:jc w:val="both"/>
        <w:rPr>
          <w:sz w:val="20"/>
        </w:rPr>
      </w:pPr>
      <w:r>
        <w:rPr>
          <w:sz w:val="20"/>
        </w:rPr>
        <w:t>Насърчават съвместното управление на количеството и</w:t>
      </w:r>
      <w:r>
        <w:rPr>
          <w:sz w:val="20"/>
        </w:rPr>
        <w:t xml:space="preserve"> качеството на водата и обръщат внимание на хидроморфологичните характеристики и времевата променливост на водните тела, тъй като те влияят на количеството, качеството на водата, бедствията и свързаните с водата екосистеми.</w:t>
      </w:r>
    </w:p>
    <w:p w14:paraId="589727C1" w14:textId="77777777" w:rsidR="008A4B34" w:rsidRPr="00FF507B" w:rsidRDefault="008A4B34">
      <w:pPr>
        <w:pStyle w:val="BodyText"/>
        <w:rPr>
          <w:sz w:val="6"/>
          <w:szCs w:val="6"/>
        </w:rPr>
      </w:pPr>
    </w:p>
    <w:p w14:paraId="589727C2" w14:textId="77777777" w:rsidR="008A4B34" w:rsidRDefault="00931A60">
      <w:pPr>
        <w:pStyle w:val="ListParagraph"/>
        <w:numPr>
          <w:ilvl w:val="0"/>
          <w:numId w:val="9"/>
        </w:numPr>
        <w:tabs>
          <w:tab w:val="left" w:pos="837"/>
        </w:tabs>
        <w:ind w:left="116" w:right="122" w:firstLine="0"/>
        <w:jc w:val="both"/>
        <w:rPr>
          <w:sz w:val="20"/>
        </w:rPr>
      </w:pPr>
      <w:r>
        <w:rPr>
          <w:sz w:val="20"/>
        </w:rPr>
        <w:t>Се справят с практиките, тенден</w:t>
      </w:r>
      <w:r>
        <w:rPr>
          <w:sz w:val="20"/>
        </w:rPr>
        <w:t>циите и развитията, които влияят на наличието на вода, търсенето на вода и излагането и уязвимостта към водните рискове; отразяват техните по-широки икономически, социални и екологични последици в различни мащаби.</w:t>
      </w:r>
    </w:p>
    <w:p w14:paraId="589727C3" w14:textId="77777777" w:rsidR="008A4B34" w:rsidRDefault="008A4B34">
      <w:pPr>
        <w:pStyle w:val="BodyText"/>
        <w:spacing w:before="9"/>
      </w:pPr>
    </w:p>
    <w:p w14:paraId="589727C4" w14:textId="77777777" w:rsidR="008A4B34" w:rsidRDefault="00931A60">
      <w:pPr>
        <w:pStyle w:val="ListParagraph"/>
        <w:numPr>
          <w:ilvl w:val="0"/>
          <w:numId w:val="9"/>
        </w:numPr>
        <w:tabs>
          <w:tab w:val="left" w:pos="837"/>
        </w:tabs>
        <w:ind w:left="116" w:right="127" w:firstLine="0"/>
        <w:jc w:val="both"/>
        <w:rPr>
          <w:sz w:val="20"/>
        </w:rPr>
      </w:pPr>
      <w:r>
        <w:rPr>
          <w:sz w:val="20"/>
        </w:rPr>
        <w:t>Улесняват разработването и разпространението на иновативни и по-ефективни начини за управление на водата, базирани на технически и нетехнически иновации.</w:t>
      </w:r>
    </w:p>
    <w:p w14:paraId="589727C5" w14:textId="77777777" w:rsidR="008A4B34" w:rsidRDefault="008A4B34">
      <w:pPr>
        <w:pStyle w:val="BodyText"/>
        <w:spacing w:before="11"/>
      </w:pPr>
    </w:p>
    <w:p w14:paraId="589727C6" w14:textId="77777777" w:rsidR="008A4B34" w:rsidRDefault="00931A60">
      <w:pPr>
        <w:pStyle w:val="ListParagraph"/>
        <w:numPr>
          <w:ilvl w:val="0"/>
          <w:numId w:val="9"/>
        </w:numPr>
        <w:tabs>
          <w:tab w:val="left" w:pos="837"/>
        </w:tabs>
        <w:ind w:left="116" w:right="122" w:firstLine="0"/>
        <w:jc w:val="both"/>
        <w:rPr>
          <w:sz w:val="20"/>
        </w:rPr>
      </w:pPr>
      <w:r>
        <w:rPr>
          <w:sz w:val="20"/>
        </w:rPr>
        <w:t>Са разработени в съответствие със следните препоръки за управление на водното количество, подобряване</w:t>
      </w:r>
      <w:r>
        <w:rPr>
          <w:sz w:val="20"/>
        </w:rPr>
        <w:t xml:space="preserve"> на качеството на водата, управление на водните рискове и бедствия, подобряване на ефективно управление и насочени към устойчиво финансиране и инвестиции за водния сектор.</w:t>
      </w:r>
    </w:p>
    <w:p w14:paraId="589727C7" w14:textId="77777777" w:rsidR="008A4B34" w:rsidRDefault="008A4B34">
      <w:pPr>
        <w:pStyle w:val="BodyText"/>
        <w:spacing w:before="9"/>
      </w:pPr>
    </w:p>
    <w:p w14:paraId="589727C8" w14:textId="77777777" w:rsidR="008A4B34" w:rsidRDefault="00931A60">
      <w:pPr>
        <w:pStyle w:val="Heading2"/>
        <w:numPr>
          <w:ilvl w:val="1"/>
          <w:numId w:val="9"/>
        </w:numPr>
        <w:tabs>
          <w:tab w:val="left" w:pos="3522"/>
          <w:tab w:val="left" w:pos="3523"/>
        </w:tabs>
        <w:ind w:hanging="721"/>
        <w:jc w:val="left"/>
      </w:pPr>
      <w:r>
        <w:t>УПРАВЛЕНИЕ НА ВОДНИТЕ КОЛИЧЕСТВА</w:t>
      </w:r>
    </w:p>
    <w:p w14:paraId="589727C9" w14:textId="77777777" w:rsidR="008A4B34" w:rsidRDefault="008A4B34">
      <w:pPr>
        <w:pStyle w:val="BodyText"/>
        <w:spacing w:before="9"/>
        <w:rPr>
          <w:b/>
          <w:sz w:val="23"/>
        </w:rPr>
      </w:pPr>
    </w:p>
    <w:p w14:paraId="589727CA" w14:textId="77777777" w:rsidR="008A4B34" w:rsidRDefault="00931A60">
      <w:pPr>
        <w:pStyle w:val="ListParagraph"/>
        <w:numPr>
          <w:ilvl w:val="0"/>
          <w:numId w:val="10"/>
        </w:numPr>
        <w:tabs>
          <w:tab w:val="left" w:pos="837"/>
        </w:tabs>
        <w:spacing w:before="1" w:line="278" w:lineRule="auto"/>
        <w:ind w:right="123" w:firstLine="0"/>
        <w:jc w:val="both"/>
        <w:rPr>
          <w:sz w:val="20"/>
        </w:rPr>
      </w:pPr>
      <w:r>
        <w:rPr>
          <w:b/>
          <w:sz w:val="20"/>
        </w:rPr>
        <w:t>ПРЕПОРЪЧВА</w:t>
      </w:r>
      <w:r>
        <w:rPr>
          <w:sz w:val="20"/>
        </w:rPr>
        <w:t xml:space="preserve"> присъединилите се страни да управляват</w:t>
      </w:r>
      <w:r>
        <w:rPr>
          <w:sz w:val="20"/>
        </w:rPr>
        <w:t xml:space="preserve"> водното количество в подходящ мащаб и, в зависимост от наличието на водни ресурси, чрез комбинация от:</w:t>
      </w:r>
    </w:p>
    <w:p w14:paraId="589727CB" w14:textId="77777777" w:rsidR="008A4B34" w:rsidRDefault="008A4B34">
      <w:pPr>
        <w:pStyle w:val="BodyText"/>
        <w:spacing w:before="6"/>
      </w:pPr>
    </w:p>
    <w:p w14:paraId="589727CC" w14:textId="77777777" w:rsidR="008A4B34" w:rsidRDefault="00931A60">
      <w:pPr>
        <w:pStyle w:val="ListParagraph"/>
        <w:numPr>
          <w:ilvl w:val="0"/>
          <w:numId w:val="8"/>
        </w:numPr>
        <w:tabs>
          <w:tab w:val="left" w:pos="837"/>
        </w:tabs>
        <w:ind w:hanging="721"/>
        <w:jc w:val="both"/>
        <w:rPr>
          <w:sz w:val="20"/>
        </w:rPr>
      </w:pPr>
      <w:r>
        <w:rPr>
          <w:sz w:val="20"/>
        </w:rPr>
        <w:t>Политики за управление на потреблението на вода на национално или местно ниво на управление, които:</w:t>
      </w:r>
    </w:p>
    <w:p w14:paraId="589727CD" w14:textId="77777777" w:rsidR="008A4B34" w:rsidRDefault="008A4B34">
      <w:pPr>
        <w:pStyle w:val="BodyText"/>
        <w:spacing w:before="11"/>
      </w:pPr>
    </w:p>
    <w:p w14:paraId="589727CE" w14:textId="77777777" w:rsidR="008A4B34" w:rsidRDefault="00931A60">
      <w:pPr>
        <w:pStyle w:val="ListParagraph"/>
        <w:numPr>
          <w:ilvl w:val="1"/>
          <w:numId w:val="8"/>
        </w:numPr>
        <w:tabs>
          <w:tab w:val="left" w:pos="830"/>
        </w:tabs>
        <w:ind w:right="126"/>
        <w:jc w:val="both"/>
        <w:rPr>
          <w:sz w:val="20"/>
        </w:rPr>
      </w:pPr>
      <w:r>
        <w:rPr>
          <w:sz w:val="20"/>
        </w:rPr>
        <w:t>Отразяват краткосрочни и дългосрочни прогнози и от</w:t>
      </w:r>
      <w:r>
        <w:rPr>
          <w:sz w:val="20"/>
        </w:rPr>
        <w:t>читат несигурността относно текущата и бъдещата наличност и потребление на вода; и</w:t>
      </w:r>
    </w:p>
    <w:p w14:paraId="589727CF" w14:textId="77777777" w:rsidR="008A4B34" w:rsidRDefault="00931A60">
      <w:pPr>
        <w:pStyle w:val="ListParagraph"/>
        <w:numPr>
          <w:ilvl w:val="1"/>
          <w:numId w:val="8"/>
        </w:numPr>
        <w:tabs>
          <w:tab w:val="left" w:pos="830"/>
        </w:tabs>
        <w:spacing w:before="121"/>
        <w:ind w:right="113"/>
        <w:jc w:val="both"/>
        <w:rPr>
          <w:sz w:val="20"/>
        </w:rPr>
      </w:pPr>
      <w:r>
        <w:rPr>
          <w:sz w:val="20"/>
        </w:rPr>
        <w:t>Се основават на планове за управление на водите, които се основават на разбирането на екологично устойчивите граници на системата, отчитат всички социални, икономически и екологични функции на водата, като същевременно запазват водните ресурси. Където е не</w:t>
      </w:r>
      <w:r>
        <w:rPr>
          <w:sz w:val="20"/>
        </w:rPr>
        <w:t>обходимо, водоснабдяването може да бъде увеличено по устойчиви начини, например чрез модулни, мащабируеми подходи към зелена и сива инфраструктура или използването на регенерирана вода.</w:t>
      </w:r>
    </w:p>
    <w:p w14:paraId="589727D0" w14:textId="77777777" w:rsidR="008A4B34" w:rsidRDefault="008A4B34">
      <w:pPr>
        <w:pStyle w:val="BodyText"/>
        <w:spacing w:before="10"/>
      </w:pPr>
    </w:p>
    <w:p w14:paraId="589727D1" w14:textId="77777777" w:rsidR="008A4B34" w:rsidRDefault="00931A60">
      <w:pPr>
        <w:pStyle w:val="ListParagraph"/>
        <w:numPr>
          <w:ilvl w:val="0"/>
          <w:numId w:val="8"/>
        </w:numPr>
        <w:tabs>
          <w:tab w:val="left" w:pos="837"/>
        </w:tabs>
        <w:ind w:left="116" w:right="118" w:firstLine="0"/>
        <w:jc w:val="both"/>
        <w:rPr>
          <w:sz w:val="20"/>
        </w:rPr>
      </w:pPr>
      <w:r>
        <w:rPr>
          <w:sz w:val="20"/>
        </w:rPr>
        <w:t>Насърчаване на ефективността на използването на водата за облекчаване</w:t>
      </w:r>
      <w:r>
        <w:rPr>
          <w:sz w:val="20"/>
        </w:rPr>
        <w:t xml:space="preserve"> на натиска върху всички повърхностни и подземни водни ресурси, особено там, където водата е оскъдна и конкуренцията между секторите се засилва, като същевременно се отчита необходимостта от подхранване на подземните води и потоците на околната среда. Това</w:t>
      </w:r>
      <w:r>
        <w:rPr>
          <w:sz w:val="20"/>
        </w:rPr>
        <w:t xml:space="preserve"> насърчаване може да включва разглеждането на икономически инструменти за управление на водните ресурси (напр. такси за водочерпене), подкрепа за ефективни водни технологии или за използване на алтернативни източници на вода (напр. регенерирана вода).</w:t>
      </w:r>
    </w:p>
    <w:p w14:paraId="589727D2" w14:textId="77777777" w:rsidR="008A4B34" w:rsidRDefault="008A4B34">
      <w:pPr>
        <w:jc w:val="both"/>
        <w:rPr>
          <w:sz w:val="20"/>
        </w:rPr>
        <w:sectPr w:rsidR="008A4B34">
          <w:pgSz w:w="11910" w:h="16840"/>
          <w:pgMar w:top="1320" w:right="1300" w:bottom="280" w:left="1300" w:header="849" w:footer="0" w:gutter="0"/>
          <w:cols w:space="720"/>
        </w:sectPr>
      </w:pPr>
    </w:p>
    <w:p w14:paraId="589727D3" w14:textId="77777777" w:rsidR="008A4B34" w:rsidRDefault="00931A60">
      <w:pPr>
        <w:pStyle w:val="ListParagraph"/>
        <w:numPr>
          <w:ilvl w:val="0"/>
          <w:numId w:val="8"/>
        </w:numPr>
        <w:tabs>
          <w:tab w:val="left" w:pos="837"/>
        </w:tabs>
        <w:spacing w:before="90"/>
        <w:ind w:hanging="721"/>
        <w:jc w:val="both"/>
        <w:rPr>
          <w:sz w:val="20"/>
        </w:rPr>
      </w:pPr>
      <w:r>
        <w:rPr>
          <w:sz w:val="20"/>
        </w:rPr>
        <w:lastRenderedPageBreak/>
        <w:t>Режими за разпределяне на вода, които определят устойчив ресурсен фонд и:</w:t>
      </w:r>
    </w:p>
    <w:p w14:paraId="589727D4" w14:textId="77777777" w:rsidR="008A4B34" w:rsidRDefault="008A4B34">
      <w:pPr>
        <w:pStyle w:val="BodyText"/>
        <w:spacing w:before="11"/>
      </w:pPr>
    </w:p>
    <w:p w14:paraId="589727D5" w14:textId="77777777" w:rsidR="008A4B34" w:rsidRDefault="00931A60">
      <w:pPr>
        <w:pStyle w:val="ListParagraph"/>
        <w:numPr>
          <w:ilvl w:val="1"/>
          <w:numId w:val="8"/>
        </w:numPr>
        <w:tabs>
          <w:tab w:val="left" w:pos="830"/>
        </w:tabs>
        <w:ind w:right="119"/>
        <w:jc w:val="both"/>
        <w:rPr>
          <w:sz w:val="20"/>
        </w:rPr>
      </w:pPr>
      <w:r>
        <w:rPr>
          <w:sz w:val="20"/>
        </w:rPr>
        <w:t>Разпределят водата и риска от недостиг по начин, който е недискриминационен и отразява по-широки политически цели (напр. достъп до питейна вода, здраве на екосисте</w:t>
      </w:r>
      <w:r>
        <w:rPr>
          <w:sz w:val="20"/>
        </w:rPr>
        <w:t>мите, храна или енергийна сигурност), както при средни, така и при екстремни условия, включително чрез балансиране на всички интереси в басейни и отчитане на рентабилността на мерките;</w:t>
      </w:r>
    </w:p>
    <w:p w14:paraId="589727D6" w14:textId="77777777" w:rsidR="008A4B34" w:rsidRDefault="00931A60">
      <w:pPr>
        <w:pStyle w:val="ListParagraph"/>
        <w:numPr>
          <w:ilvl w:val="1"/>
          <w:numId w:val="8"/>
        </w:numPr>
        <w:tabs>
          <w:tab w:val="left" w:pos="829"/>
          <w:tab w:val="left" w:pos="830"/>
        </w:tabs>
        <w:spacing w:before="122"/>
        <w:rPr>
          <w:sz w:val="20"/>
        </w:rPr>
      </w:pPr>
      <w:r>
        <w:rPr>
          <w:sz w:val="20"/>
        </w:rPr>
        <w:t>Са динамични, гъвкави и адаптирани към променящите се обстоятелства с н</w:t>
      </w:r>
      <w:r>
        <w:rPr>
          <w:sz w:val="20"/>
        </w:rPr>
        <w:t>ай-ниска социална цена;</w:t>
      </w:r>
    </w:p>
    <w:p w14:paraId="589727D7" w14:textId="77777777" w:rsidR="008A4B34" w:rsidRDefault="00931A60">
      <w:pPr>
        <w:pStyle w:val="ListParagraph"/>
        <w:numPr>
          <w:ilvl w:val="1"/>
          <w:numId w:val="8"/>
        </w:numPr>
        <w:tabs>
          <w:tab w:val="left" w:pos="830"/>
        </w:tabs>
        <w:spacing w:before="118"/>
        <w:ind w:right="120"/>
        <w:jc w:val="both"/>
        <w:rPr>
          <w:sz w:val="20"/>
        </w:rPr>
      </w:pPr>
      <w:r>
        <w:rPr>
          <w:sz w:val="20"/>
        </w:rPr>
        <w:t>Насърчават ефективното използване на водата, инвестициите и иновациите, като се вземат предвид социалните последици и поддържащата екосистемата функция на водата;</w:t>
      </w:r>
    </w:p>
    <w:p w14:paraId="589727D8" w14:textId="77777777" w:rsidR="008A4B34" w:rsidRDefault="00931A60">
      <w:pPr>
        <w:pStyle w:val="ListParagraph"/>
        <w:numPr>
          <w:ilvl w:val="1"/>
          <w:numId w:val="8"/>
        </w:numPr>
        <w:tabs>
          <w:tab w:val="left" w:pos="830"/>
        </w:tabs>
        <w:spacing w:before="121"/>
        <w:rPr>
          <w:sz w:val="20"/>
        </w:rPr>
      </w:pPr>
      <w:r>
        <w:rPr>
          <w:sz w:val="20"/>
        </w:rPr>
        <w:t>Отговарят на обичайните практики на традиционните общности; и</w:t>
      </w:r>
    </w:p>
    <w:p w14:paraId="589727D9" w14:textId="77777777" w:rsidR="008A4B34" w:rsidRDefault="00931A60">
      <w:pPr>
        <w:pStyle w:val="ListParagraph"/>
        <w:numPr>
          <w:ilvl w:val="1"/>
          <w:numId w:val="8"/>
        </w:numPr>
        <w:tabs>
          <w:tab w:val="left" w:pos="830"/>
        </w:tabs>
        <w:spacing w:before="120"/>
        <w:ind w:right="116"/>
        <w:jc w:val="both"/>
        <w:rPr>
          <w:sz w:val="20"/>
        </w:rPr>
      </w:pPr>
      <w:r>
        <w:rPr>
          <w:sz w:val="20"/>
        </w:rPr>
        <w:t>Насърчават спазването и прилагането (т.е. на правата за вода) в национален и местен контекст.</w:t>
      </w:r>
    </w:p>
    <w:p w14:paraId="589727DA" w14:textId="77777777" w:rsidR="008A4B34" w:rsidRDefault="00931A60">
      <w:pPr>
        <w:pStyle w:val="ListParagraph"/>
        <w:numPr>
          <w:ilvl w:val="0"/>
          <w:numId w:val="8"/>
        </w:numPr>
        <w:tabs>
          <w:tab w:val="left" w:pos="837"/>
        </w:tabs>
        <w:spacing w:before="119"/>
        <w:ind w:left="116" w:right="123" w:firstLine="0"/>
        <w:jc w:val="both"/>
        <w:rPr>
          <w:sz w:val="20"/>
        </w:rPr>
      </w:pPr>
      <w:r>
        <w:rPr>
          <w:sz w:val="20"/>
        </w:rPr>
        <w:t>Подходи за колективно управление, като колективни права, където е приложимо, в области, където е налична малко информация за наличността и използването на водата, или където разходите по прехвърляне за управление на индивидуални права са твърде високи (нап</w:t>
      </w:r>
      <w:r>
        <w:rPr>
          <w:sz w:val="20"/>
        </w:rPr>
        <w:t>р. за управление на подземните води).</w:t>
      </w:r>
    </w:p>
    <w:p w14:paraId="589727DB" w14:textId="77777777" w:rsidR="008A4B34" w:rsidRDefault="008A4B34">
      <w:pPr>
        <w:pStyle w:val="BodyText"/>
        <w:rPr>
          <w:sz w:val="21"/>
        </w:rPr>
      </w:pPr>
    </w:p>
    <w:p w14:paraId="589727DC" w14:textId="77777777" w:rsidR="008A4B34" w:rsidRDefault="00931A60">
      <w:pPr>
        <w:pStyle w:val="ListParagraph"/>
        <w:numPr>
          <w:ilvl w:val="0"/>
          <w:numId w:val="8"/>
        </w:numPr>
        <w:tabs>
          <w:tab w:val="left" w:pos="837"/>
        </w:tabs>
        <w:spacing w:line="276" w:lineRule="auto"/>
        <w:ind w:left="116" w:right="121" w:firstLine="0"/>
        <w:jc w:val="both"/>
        <w:rPr>
          <w:sz w:val="20"/>
        </w:rPr>
      </w:pPr>
      <w:r>
        <w:rPr>
          <w:sz w:val="20"/>
        </w:rPr>
        <w:t>Подобрени познания за използването на водата и ограниченията за устойчивост и подобрен мониторинг на водните ресурси и употреби, условията на водосбора, здравето на екосистемите и взаимовръзките между повърхностните и</w:t>
      </w:r>
      <w:r>
        <w:rPr>
          <w:sz w:val="20"/>
        </w:rPr>
        <w:t xml:space="preserve"> подземните води, за по-добра оценка на екологичните нужди и бъдещата наличност на вода и вземане на по-стабилни решения.</w:t>
      </w:r>
    </w:p>
    <w:p w14:paraId="589727DD" w14:textId="77777777" w:rsidR="008A4B34" w:rsidRPr="00FF507B" w:rsidRDefault="008A4B34">
      <w:pPr>
        <w:pStyle w:val="BodyText"/>
        <w:spacing w:before="8"/>
        <w:rPr>
          <w:sz w:val="6"/>
          <w:szCs w:val="6"/>
        </w:rPr>
      </w:pPr>
    </w:p>
    <w:p w14:paraId="589727DE" w14:textId="77777777" w:rsidR="008A4B34" w:rsidRDefault="00931A60">
      <w:pPr>
        <w:pStyle w:val="Heading2"/>
        <w:numPr>
          <w:ilvl w:val="1"/>
          <w:numId w:val="9"/>
        </w:numPr>
        <w:tabs>
          <w:tab w:val="left" w:pos="3577"/>
          <w:tab w:val="left" w:pos="3578"/>
        </w:tabs>
        <w:ind w:left="3577" w:hanging="721"/>
        <w:jc w:val="left"/>
      </w:pPr>
      <w:r>
        <w:t>ПОДОБРЯВАНЕ НА КАЧЕСТВОТО НА ВОДАТА</w:t>
      </w:r>
    </w:p>
    <w:p w14:paraId="589727DF" w14:textId="77777777" w:rsidR="008A4B34" w:rsidRPr="00FF507B" w:rsidRDefault="008A4B34">
      <w:pPr>
        <w:pStyle w:val="BodyText"/>
        <w:spacing w:before="9"/>
        <w:rPr>
          <w:b/>
          <w:sz w:val="6"/>
          <w:szCs w:val="6"/>
        </w:rPr>
      </w:pPr>
    </w:p>
    <w:p w14:paraId="589727E0" w14:textId="77777777" w:rsidR="008A4B34" w:rsidRDefault="00931A60">
      <w:pPr>
        <w:pStyle w:val="ListParagraph"/>
        <w:numPr>
          <w:ilvl w:val="0"/>
          <w:numId w:val="10"/>
        </w:numPr>
        <w:tabs>
          <w:tab w:val="left" w:pos="837"/>
        </w:tabs>
        <w:spacing w:before="1" w:line="276" w:lineRule="auto"/>
        <w:ind w:right="122" w:firstLine="0"/>
        <w:jc w:val="both"/>
        <w:rPr>
          <w:sz w:val="20"/>
        </w:rPr>
      </w:pPr>
      <w:r>
        <w:rPr>
          <w:b/>
          <w:sz w:val="20"/>
        </w:rPr>
        <w:t xml:space="preserve">ПРЕПОРЪЧВА </w:t>
      </w:r>
      <w:r>
        <w:rPr>
          <w:sz w:val="20"/>
        </w:rPr>
        <w:t>присъединилите се страни да предотвратяват, намаляват и управляват замърсяването на в</w:t>
      </w:r>
      <w:r>
        <w:rPr>
          <w:sz w:val="20"/>
        </w:rPr>
        <w:t>одата от всички източници (дифузни и точкови източници), в повърхностните и подземните води и свързаните крайбрежни екосистеми, като същевременно обръщат внимание на замърсителите, пораждащи нови опасения. За тази цел присъединилите се страни трябва:</w:t>
      </w:r>
    </w:p>
    <w:p w14:paraId="589727E1" w14:textId="77777777" w:rsidR="008A4B34" w:rsidRPr="00FF507B" w:rsidRDefault="008A4B34">
      <w:pPr>
        <w:pStyle w:val="BodyText"/>
        <w:spacing w:before="1"/>
        <w:rPr>
          <w:sz w:val="6"/>
          <w:szCs w:val="6"/>
        </w:rPr>
      </w:pPr>
    </w:p>
    <w:p w14:paraId="589727E2" w14:textId="77777777" w:rsidR="008A4B34" w:rsidRDefault="00931A60">
      <w:pPr>
        <w:pStyle w:val="ListParagraph"/>
        <w:numPr>
          <w:ilvl w:val="0"/>
          <w:numId w:val="7"/>
        </w:numPr>
        <w:tabs>
          <w:tab w:val="left" w:pos="837"/>
        </w:tabs>
        <w:ind w:hanging="721"/>
        <w:jc w:val="both"/>
        <w:rPr>
          <w:sz w:val="20"/>
        </w:rPr>
      </w:pPr>
      <w:r>
        <w:rPr>
          <w:sz w:val="20"/>
        </w:rPr>
        <w:t>Да р</w:t>
      </w:r>
      <w:r>
        <w:rPr>
          <w:sz w:val="20"/>
        </w:rPr>
        <w:t>азпределят адекватно човешки, технически, научни и финансови ресурси за:</w:t>
      </w:r>
    </w:p>
    <w:p w14:paraId="589727E3" w14:textId="77777777" w:rsidR="008A4B34" w:rsidRPr="00FF507B" w:rsidRDefault="008A4B34">
      <w:pPr>
        <w:pStyle w:val="BodyText"/>
        <w:spacing w:before="9"/>
        <w:rPr>
          <w:sz w:val="6"/>
          <w:szCs w:val="6"/>
        </w:rPr>
      </w:pPr>
    </w:p>
    <w:p w14:paraId="589727E4" w14:textId="77777777" w:rsidR="008A4B34" w:rsidRDefault="00931A60">
      <w:pPr>
        <w:pStyle w:val="ListParagraph"/>
        <w:numPr>
          <w:ilvl w:val="1"/>
          <w:numId w:val="7"/>
        </w:numPr>
        <w:tabs>
          <w:tab w:val="left" w:pos="830"/>
        </w:tabs>
        <w:ind w:right="127"/>
        <w:jc w:val="both"/>
        <w:rPr>
          <w:sz w:val="20"/>
        </w:rPr>
      </w:pPr>
      <w:r>
        <w:rPr>
          <w:sz w:val="20"/>
        </w:rPr>
        <w:t>Оценка на количеството и качеството на водата и отпадните води. Мониторингът на качеството на водата трябва да бъде разработен и публично докладван.</w:t>
      </w:r>
    </w:p>
    <w:p w14:paraId="589727E5" w14:textId="77777777" w:rsidR="008A4B34" w:rsidRDefault="00931A60">
      <w:pPr>
        <w:pStyle w:val="ListParagraph"/>
        <w:numPr>
          <w:ilvl w:val="1"/>
          <w:numId w:val="7"/>
        </w:numPr>
        <w:tabs>
          <w:tab w:val="left" w:pos="830"/>
        </w:tabs>
        <w:spacing w:before="121"/>
        <w:ind w:right="121"/>
        <w:jc w:val="both"/>
        <w:rPr>
          <w:sz w:val="20"/>
        </w:rPr>
      </w:pPr>
      <w:r>
        <w:rPr>
          <w:sz w:val="20"/>
        </w:rPr>
        <w:t>Идентифициране на източниците на замърсяване (дифузни и точкови източници) и, за най-важните замърсители, оценка на концентрациите, общите количества и времето на изпусканията.</w:t>
      </w:r>
    </w:p>
    <w:p w14:paraId="589727E6" w14:textId="77777777" w:rsidR="008A4B34" w:rsidRDefault="00931A60">
      <w:pPr>
        <w:pStyle w:val="ListParagraph"/>
        <w:numPr>
          <w:ilvl w:val="1"/>
          <w:numId w:val="7"/>
        </w:numPr>
        <w:tabs>
          <w:tab w:val="left" w:pos="830"/>
        </w:tabs>
        <w:spacing w:before="121"/>
        <w:ind w:right="119"/>
        <w:jc w:val="both"/>
        <w:rPr>
          <w:sz w:val="20"/>
        </w:rPr>
      </w:pPr>
      <w:r>
        <w:rPr>
          <w:sz w:val="20"/>
        </w:rPr>
        <w:t>Определяне на политически цели и цели за постигане и поддържане на определени с</w:t>
      </w:r>
      <w:r>
        <w:rPr>
          <w:sz w:val="20"/>
        </w:rPr>
        <w:t>тандарти за качество на водата във водните обекти с цел защита на предназначените употреби и свързаните с водата екосистеми, като се вземат предвид изискванията за качество на водата за всички видове използване на водата.</w:t>
      </w:r>
    </w:p>
    <w:p w14:paraId="589727E7" w14:textId="77777777" w:rsidR="008A4B34" w:rsidRDefault="00931A60">
      <w:pPr>
        <w:pStyle w:val="ListParagraph"/>
        <w:numPr>
          <w:ilvl w:val="1"/>
          <w:numId w:val="7"/>
        </w:numPr>
        <w:tabs>
          <w:tab w:val="left" w:pos="830"/>
        </w:tabs>
        <w:spacing w:before="118"/>
        <w:ind w:right="126"/>
        <w:jc w:val="both"/>
        <w:rPr>
          <w:sz w:val="20"/>
        </w:rPr>
      </w:pPr>
      <w:r>
        <w:rPr>
          <w:sz w:val="20"/>
        </w:rPr>
        <w:t>Подобряване на стандартите за опре</w:t>
      </w:r>
      <w:r>
        <w:rPr>
          <w:sz w:val="20"/>
        </w:rPr>
        <w:t>деляне на целите за качество на водата, надграждайки най-новите научни познания и най-рентабилните технологии.</w:t>
      </w:r>
    </w:p>
    <w:p w14:paraId="589727E8" w14:textId="77777777" w:rsidR="008A4B34" w:rsidRDefault="00931A60">
      <w:pPr>
        <w:pStyle w:val="ListParagraph"/>
        <w:numPr>
          <w:ilvl w:val="1"/>
          <w:numId w:val="7"/>
        </w:numPr>
        <w:tabs>
          <w:tab w:val="left" w:pos="830"/>
        </w:tabs>
        <w:spacing w:before="121"/>
        <w:ind w:right="115"/>
        <w:jc w:val="both"/>
        <w:rPr>
          <w:sz w:val="20"/>
        </w:rPr>
      </w:pPr>
      <w:r>
        <w:rPr>
          <w:sz w:val="20"/>
        </w:rPr>
        <w:t>Оценка на инвестициите, необходими за постигане на желаното ниво на качество на водата и за защита и възстановяване на свързаните с водата екосис</w:t>
      </w:r>
      <w:r>
        <w:rPr>
          <w:sz w:val="20"/>
        </w:rPr>
        <w:t>теми, като вземат предвид рентабилността, свързана с ползите за здравето на хората и екосистемите.</w:t>
      </w:r>
    </w:p>
    <w:p w14:paraId="589727E9" w14:textId="77777777" w:rsidR="008A4B34" w:rsidRDefault="00931A60">
      <w:pPr>
        <w:pStyle w:val="ListParagraph"/>
        <w:numPr>
          <w:ilvl w:val="0"/>
          <w:numId w:val="7"/>
        </w:numPr>
        <w:tabs>
          <w:tab w:val="left" w:pos="837"/>
        </w:tabs>
        <w:spacing w:before="120"/>
        <w:ind w:left="116" w:right="116" w:firstLine="0"/>
        <w:jc w:val="both"/>
        <w:rPr>
          <w:sz w:val="20"/>
        </w:rPr>
      </w:pPr>
      <w:r>
        <w:rPr>
          <w:sz w:val="20"/>
        </w:rPr>
        <w:t>Да идентифицират, оценяват и да се стремят да смекчат рисковете, свързани с инвестиции, които влияят негативно върху естествената цялост на реки, езера, водо</w:t>
      </w:r>
      <w:r>
        <w:rPr>
          <w:sz w:val="20"/>
        </w:rPr>
        <w:t>носни слоеве и влажни зони, техните хидроморфологични условия, естествения капацитет за задържане на вода на басейните или функционирането на екосистемите.</w:t>
      </w:r>
    </w:p>
    <w:p w14:paraId="589727EA" w14:textId="77777777" w:rsidR="008A4B34" w:rsidRDefault="008A4B34">
      <w:pPr>
        <w:pStyle w:val="BodyText"/>
        <w:spacing w:before="11"/>
      </w:pPr>
    </w:p>
    <w:p w14:paraId="589727EB" w14:textId="77777777" w:rsidR="008A4B34" w:rsidRDefault="00931A60">
      <w:pPr>
        <w:pStyle w:val="ListParagraph"/>
        <w:numPr>
          <w:ilvl w:val="0"/>
          <w:numId w:val="7"/>
        </w:numPr>
        <w:tabs>
          <w:tab w:val="left" w:pos="837"/>
        </w:tabs>
        <w:ind w:left="116" w:right="115" w:firstLine="0"/>
        <w:jc w:val="both"/>
        <w:rPr>
          <w:sz w:val="20"/>
        </w:rPr>
      </w:pPr>
      <w:r>
        <w:rPr>
          <w:sz w:val="20"/>
        </w:rPr>
        <w:t>Да вземат мерки за намаляване, доколкото е необходимо, на замърсяването на всички води и по-специал</w:t>
      </w:r>
      <w:r>
        <w:rPr>
          <w:sz w:val="20"/>
        </w:rPr>
        <w:t>но замърсяването на повърхностните води, което води до еутрофикация, като се обърне специално внимание на проблема, произтичащ от прехвърлянето на богати на хранителни вещества води през границите или към морето. Тези мерки трябва да гарантират съответстви</w:t>
      </w:r>
      <w:r>
        <w:rPr>
          <w:sz w:val="20"/>
        </w:rPr>
        <w:t>е с посочените по-горе цели и цели за качество на водата.</w:t>
      </w:r>
    </w:p>
    <w:p w14:paraId="589727EC" w14:textId="77777777" w:rsidR="008A4B34" w:rsidRPr="00FF507B" w:rsidRDefault="008A4B34">
      <w:pPr>
        <w:pStyle w:val="BodyText"/>
        <w:spacing w:before="9"/>
        <w:rPr>
          <w:sz w:val="6"/>
          <w:szCs w:val="6"/>
        </w:rPr>
      </w:pPr>
    </w:p>
    <w:p w14:paraId="589727ED" w14:textId="77777777" w:rsidR="008A4B34" w:rsidRDefault="00931A60">
      <w:pPr>
        <w:pStyle w:val="ListParagraph"/>
        <w:numPr>
          <w:ilvl w:val="0"/>
          <w:numId w:val="7"/>
        </w:numPr>
        <w:tabs>
          <w:tab w:val="left" w:pos="837"/>
        </w:tabs>
        <w:ind w:left="116" w:right="123" w:firstLine="0"/>
        <w:jc w:val="both"/>
        <w:rPr>
          <w:sz w:val="20"/>
        </w:rPr>
      </w:pPr>
      <w:r>
        <w:rPr>
          <w:sz w:val="20"/>
        </w:rPr>
        <w:t>Да насърчават най-рентабилните мерки за подобряване на качеството на водата, като същевременно държат замърсителите и потребителите отговорни, доколкото е възможно, чрез:</w:t>
      </w:r>
    </w:p>
    <w:p w14:paraId="589727EE" w14:textId="77777777" w:rsidR="008A4B34" w:rsidRDefault="008A4B34">
      <w:pPr>
        <w:jc w:val="both"/>
        <w:rPr>
          <w:sz w:val="20"/>
        </w:rPr>
        <w:sectPr w:rsidR="008A4B34">
          <w:pgSz w:w="11910" w:h="16840"/>
          <w:pgMar w:top="1320" w:right="1300" w:bottom="280" w:left="1300" w:header="849" w:footer="0" w:gutter="0"/>
          <w:cols w:space="720"/>
        </w:sectPr>
      </w:pPr>
    </w:p>
    <w:p w14:paraId="589727EF" w14:textId="77777777" w:rsidR="008A4B34" w:rsidRDefault="00931A60">
      <w:pPr>
        <w:pStyle w:val="ListParagraph"/>
        <w:numPr>
          <w:ilvl w:val="1"/>
          <w:numId w:val="7"/>
        </w:numPr>
        <w:tabs>
          <w:tab w:val="left" w:pos="830"/>
        </w:tabs>
        <w:spacing w:before="90"/>
        <w:ind w:right="117"/>
        <w:jc w:val="both"/>
        <w:rPr>
          <w:sz w:val="20"/>
        </w:rPr>
      </w:pPr>
      <w:r>
        <w:rPr>
          <w:sz w:val="20"/>
        </w:rPr>
        <w:lastRenderedPageBreak/>
        <w:t>Целенасочено действие срещу замърсители от особено значение в подходящ мащаб (водосбор, басейн или водоносен слой), въз основа на такива характеристики като токсичност, устойчивост, бионатрупване и риск за здравето на хората и околната среда.</w:t>
      </w:r>
    </w:p>
    <w:p w14:paraId="589727F0" w14:textId="77777777" w:rsidR="008A4B34" w:rsidRDefault="00931A60">
      <w:pPr>
        <w:pStyle w:val="ListParagraph"/>
        <w:numPr>
          <w:ilvl w:val="1"/>
          <w:numId w:val="7"/>
        </w:numPr>
        <w:tabs>
          <w:tab w:val="left" w:pos="830"/>
        </w:tabs>
        <w:spacing w:before="122"/>
        <w:ind w:right="123"/>
        <w:jc w:val="both"/>
        <w:rPr>
          <w:sz w:val="20"/>
        </w:rPr>
      </w:pPr>
      <w:r>
        <w:rPr>
          <w:sz w:val="20"/>
        </w:rPr>
        <w:t xml:space="preserve">Прилагане на </w:t>
      </w:r>
      <w:r>
        <w:rPr>
          <w:sz w:val="20"/>
        </w:rPr>
        <w:t>мерки за контрол на замърсяването възможно най-близо до източника, като се вземат предвид алтернативни рентабилни варианти в случай на непропорционални разходи.</w:t>
      </w:r>
    </w:p>
    <w:p w14:paraId="589727F1" w14:textId="77777777" w:rsidR="008A4B34" w:rsidRDefault="00931A60">
      <w:pPr>
        <w:pStyle w:val="ListParagraph"/>
        <w:numPr>
          <w:ilvl w:val="1"/>
          <w:numId w:val="7"/>
        </w:numPr>
        <w:tabs>
          <w:tab w:val="left" w:pos="830"/>
        </w:tabs>
        <w:spacing w:before="118"/>
        <w:ind w:right="123"/>
        <w:jc w:val="both"/>
        <w:rPr>
          <w:sz w:val="20"/>
        </w:rPr>
      </w:pPr>
      <w:r>
        <w:rPr>
          <w:sz w:val="20"/>
        </w:rPr>
        <w:t>Интегриран контрол на замърсяването, така че мерките за контрол на замърсяването на водата да н</w:t>
      </w:r>
      <w:r>
        <w:rPr>
          <w:sz w:val="20"/>
        </w:rPr>
        <w:t>е водят до неконтролирано прехвърляне на замърсяване към други водни ресурси или към почвени или въздушни системи.</w:t>
      </w:r>
    </w:p>
    <w:p w14:paraId="589727F2" w14:textId="77777777" w:rsidR="008A4B34" w:rsidRPr="00A808B1" w:rsidRDefault="008A4B34">
      <w:pPr>
        <w:pStyle w:val="BodyText"/>
        <w:rPr>
          <w:sz w:val="4"/>
          <w:szCs w:val="4"/>
        </w:rPr>
      </w:pPr>
    </w:p>
    <w:p w14:paraId="589727F3" w14:textId="77777777" w:rsidR="008A4B34" w:rsidRDefault="00931A60">
      <w:pPr>
        <w:pStyle w:val="ListParagraph"/>
        <w:numPr>
          <w:ilvl w:val="0"/>
          <w:numId w:val="7"/>
        </w:numPr>
        <w:tabs>
          <w:tab w:val="left" w:pos="837"/>
        </w:tabs>
        <w:ind w:left="116" w:right="111" w:firstLine="0"/>
        <w:jc w:val="both"/>
        <w:rPr>
          <w:sz w:val="20"/>
        </w:rPr>
      </w:pPr>
      <w:r>
        <w:rPr>
          <w:sz w:val="20"/>
        </w:rPr>
        <w:t>Да обмислят най-рентабилните мерки за справяне с проблемите с качеството на водата, като същевременно прилагат принципа „Замърсителят плаща“</w:t>
      </w:r>
      <w:r>
        <w:rPr>
          <w:sz w:val="20"/>
        </w:rPr>
        <w:t xml:space="preserve"> доколкото е възможно, когато е споменат в правната и регулаторна рамка, и да го насърчават, когато липсва.</w:t>
      </w:r>
    </w:p>
    <w:p w14:paraId="589727F4" w14:textId="77777777" w:rsidR="008A4B34" w:rsidRPr="00A808B1" w:rsidRDefault="008A4B34">
      <w:pPr>
        <w:pStyle w:val="BodyText"/>
        <w:spacing w:before="8"/>
        <w:rPr>
          <w:sz w:val="6"/>
          <w:szCs w:val="6"/>
        </w:rPr>
      </w:pPr>
    </w:p>
    <w:p w14:paraId="589727F5" w14:textId="77777777" w:rsidR="008A4B34" w:rsidRDefault="00931A60">
      <w:pPr>
        <w:pStyle w:val="ListParagraph"/>
        <w:numPr>
          <w:ilvl w:val="0"/>
          <w:numId w:val="7"/>
        </w:numPr>
        <w:tabs>
          <w:tab w:val="left" w:pos="837"/>
        </w:tabs>
        <w:spacing w:before="1"/>
        <w:ind w:left="116" w:right="122" w:firstLine="0"/>
        <w:jc w:val="both"/>
        <w:rPr>
          <w:sz w:val="20"/>
        </w:rPr>
      </w:pPr>
      <w:r>
        <w:rPr>
          <w:sz w:val="20"/>
        </w:rPr>
        <w:t>Да комбинират регулаторни, доброволни и икономически инструменти, за да осигурят непрекъснати стимули за замърсителите да намалят и контролират зам</w:t>
      </w:r>
      <w:r>
        <w:rPr>
          <w:sz w:val="20"/>
        </w:rPr>
        <w:t>ърсяването на водните ресурси.</w:t>
      </w:r>
    </w:p>
    <w:p w14:paraId="589727F6" w14:textId="77777777" w:rsidR="008A4B34" w:rsidRPr="00A808B1" w:rsidRDefault="008A4B34">
      <w:pPr>
        <w:pStyle w:val="BodyText"/>
        <w:spacing w:before="10"/>
        <w:rPr>
          <w:sz w:val="4"/>
          <w:szCs w:val="4"/>
        </w:rPr>
      </w:pPr>
    </w:p>
    <w:p w14:paraId="589727F7" w14:textId="77777777" w:rsidR="008A4B34" w:rsidRDefault="00931A60">
      <w:pPr>
        <w:pStyle w:val="ListParagraph"/>
        <w:numPr>
          <w:ilvl w:val="0"/>
          <w:numId w:val="7"/>
        </w:numPr>
        <w:tabs>
          <w:tab w:val="left" w:pos="837"/>
        </w:tabs>
        <w:ind w:left="116" w:right="120" w:firstLine="0"/>
        <w:jc w:val="both"/>
        <w:rPr>
          <w:sz w:val="20"/>
        </w:rPr>
      </w:pPr>
      <w:r>
        <w:rPr>
          <w:sz w:val="20"/>
        </w:rPr>
        <w:t>Да създадат механизми за наблюдение и налагане на спазването на регулаторните разпоредби. Налагането трябва да бъде целенасочено, като се използват всички налични източници на данни. То следва да се основава на ясни, прозрач</w:t>
      </w:r>
      <w:r>
        <w:rPr>
          <w:sz w:val="20"/>
        </w:rPr>
        <w:t>ни и пропорционални правила, процедури, санкции, стимули и инструменти за ефективно постигане на регулаторните цели.</w:t>
      </w:r>
    </w:p>
    <w:p w14:paraId="589727F8" w14:textId="77777777" w:rsidR="008A4B34" w:rsidRPr="00A808B1" w:rsidRDefault="008A4B34">
      <w:pPr>
        <w:pStyle w:val="BodyText"/>
        <w:spacing w:before="10"/>
        <w:rPr>
          <w:sz w:val="6"/>
          <w:szCs w:val="6"/>
        </w:rPr>
      </w:pPr>
    </w:p>
    <w:p w14:paraId="589727F9" w14:textId="77777777" w:rsidR="008A4B34" w:rsidRDefault="00931A60">
      <w:pPr>
        <w:pStyle w:val="ListParagraph"/>
        <w:numPr>
          <w:ilvl w:val="0"/>
          <w:numId w:val="7"/>
        </w:numPr>
        <w:tabs>
          <w:tab w:val="left" w:pos="837"/>
        </w:tabs>
        <w:ind w:left="116" w:right="114" w:firstLine="0"/>
        <w:jc w:val="both"/>
        <w:rPr>
          <w:sz w:val="20"/>
        </w:rPr>
      </w:pPr>
      <w:r>
        <w:rPr>
          <w:sz w:val="20"/>
        </w:rPr>
        <w:t>Да вземат мерки за защита, възстановяване и насърчаване на устойчивото използване на свързаните с водата екосистеми, спиране и обръщане на деградацията и спиране на загубата на биологично разнообразие.</w:t>
      </w:r>
    </w:p>
    <w:p w14:paraId="589727FA" w14:textId="77777777" w:rsidR="008A4B34" w:rsidRPr="00A808B1" w:rsidRDefault="008A4B34">
      <w:pPr>
        <w:pStyle w:val="BodyText"/>
        <w:rPr>
          <w:sz w:val="4"/>
          <w:szCs w:val="4"/>
        </w:rPr>
      </w:pPr>
    </w:p>
    <w:p w14:paraId="589727FB" w14:textId="77777777" w:rsidR="008A4B34" w:rsidRDefault="00931A60">
      <w:pPr>
        <w:pStyle w:val="ListParagraph"/>
        <w:numPr>
          <w:ilvl w:val="0"/>
          <w:numId w:val="7"/>
        </w:numPr>
        <w:tabs>
          <w:tab w:val="left" w:pos="837"/>
        </w:tabs>
        <w:ind w:hanging="721"/>
        <w:jc w:val="both"/>
        <w:rPr>
          <w:sz w:val="20"/>
        </w:rPr>
      </w:pPr>
      <w:r>
        <w:rPr>
          <w:sz w:val="20"/>
        </w:rPr>
        <w:t>Да вземат следните мерки за справяне със специфични з</w:t>
      </w:r>
      <w:r>
        <w:rPr>
          <w:sz w:val="20"/>
        </w:rPr>
        <w:t>а сектора проблеми:</w:t>
      </w:r>
    </w:p>
    <w:p w14:paraId="589727FC" w14:textId="77777777" w:rsidR="008A4B34" w:rsidRPr="00A808B1" w:rsidRDefault="008A4B34">
      <w:pPr>
        <w:pStyle w:val="BodyText"/>
        <w:spacing w:before="10"/>
        <w:rPr>
          <w:sz w:val="4"/>
          <w:szCs w:val="4"/>
        </w:rPr>
      </w:pPr>
    </w:p>
    <w:p w14:paraId="589727FD" w14:textId="77777777" w:rsidR="008A4B34" w:rsidRDefault="00931A60">
      <w:pPr>
        <w:pStyle w:val="ListParagraph"/>
        <w:numPr>
          <w:ilvl w:val="1"/>
          <w:numId w:val="7"/>
        </w:numPr>
        <w:tabs>
          <w:tab w:val="left" w:pos="837"/>
        </w:tabs>
        <w:ind w:left="836" w:right="115" w:hanging="360"/>
        <w:jc w:val="both"/>
        <w:rPr>
          <w:sz w:val="20"/>
        </w:rPr>
      </w:pPr>
      <w:r>
        <w:rPr>
          <w:sz w:val="20"/>
        </w:rPr>
        <w:t>Насърчаване на съгласуваността между водните и секторните политики, напр. индустрия, енергетика, природа, питейна вода, здравеопазване и селско стопанство. За последното, идентифициране и намаляване до възможно най-голяма степен на вси</w:t>
      </w:r>
      <w:r>
        <w:rPr>
          <w:sz w:val="20"/>
        </w:rPr>
        <w:t>чки вредни стимули и практики, които имат неблагоприятно въздействие върху околната среда или водата (напр. субсидии за торове и пестициди, които са вредни за водата).</w:t>
      </w:r>
    </w:p>
    <w:p w14:paraId="589727FE" w14:textId="77777777" w:rsidR="008A4B34" w:rsidRDefault="00931A60">
      <w:pPr>
        <w:pStyle w:val="ListParagraph"/>
        <w:numPr>
          <w:ilvl w:val="1"/>
          <w:numId w:val="7"/>
        </w:numPr>
        <w:tabs>
          <w:tab w:val="left" w:pos="830"/>
        </w:tabs>
        <w:spacing w:before="119"/>
        <w:ind w:right="117"/>
        <w:jc w:val="both"/>
        <w:rPr>
          <w:sz w:val="20"/>
        </w:rPr>
      </w:pPr>
      <w:r>
        <w:rPr>
          <w:sz w:val="20"/>
        </w:rPr>
        <w:t xml:space="preserve">Приемане на подходящи финансови, управленски и технически мерки, за да се гарантира, че </w:t>
      </w:r>
      <w:r>
        <w:rPr>
          <w:sz w:val="20"/>
        </w:rPr>
        <w:t>системите за пречистване на отпадъчни води: са изградени и експлоатирани по рентабилен начин; взимат предвид топографията и бъдещите тенденции на населението; допринасят за целите за качество на водата; и позволяват възстановяване на ресурсите, енергийна и</w:t>
      </w:r>
      <w:r>
        <w:rPr>
          <w:sz w:val="20"/>
        </w:rPr>
        <w:t xml:space="preserve"> водна ефективност и повторно използване за запазване на водата.</w:t>
      </w:r>
    </w:p>
    <w:p w14:paraId="589727FF" w14:textId="77777777" w:rsidR="008A4B34" w:rsidRDefault="00931A60">
      <w:pPr>
        <w:pStyle w:val="ListParagraph"/>
        <w:numPr>
          <w:ilvl w:val="1"/>
          <w:numId w:val="7"/>
        </w:numPr>
        <w:tabs>
          <w:tab w:val="left" w:pos="830"/>
        </w:tabs>
        <w:spacing w:before="123" w:line="276" w:lineRule="auto"/>
        <w:ind w:right="123"/>
        <w:jc w:val="both"/>
        <w:rPr>
          <w:sz w:val="20"/>
        </w:rPr>
      </w:pPr>
      <w:r>
        <w:rPr>
          <w:sz w:val="20"/>
        </w:rPr>
        <w:t xml:space="preserve">Обръщане на особено внимание на постигането на устойчиво управление и опазване на риболовните ресурси и други водни организми в сладководни и свързани крайбрежни зони на местно, национално и </w:t>
      </w:r>
      <w:r>
        <w:rPr>
          <w:sz w:val="20"/>
        </w:rPr>
        <w:t>международно ниво и осигуряване на координация на всички съответни органи, доколкото е възможно.</w:t>
      </w:r>
    </w:p>
    <w:p w14:paraId="58972800" w14:textId="77777777" w:rsidR="008A4B34" w:rsidRPr="00A808B1" w:rsidRDefault="008A4B34">
      <w:pPr>
        <w:pStyle w:val="BodyText"/>
        <w:spacing w:before="5"/>
        <w:rPr>
          <w:sz w:val="4"/>
          <w:szCs w:val="4"/>
        </w:rPr>
      </w:pPr>
    </w:p>
    <w:p w14:paraId="58972801" w14:textId="77777777" w:rsidR="008A4B34" w:rsidRDefault="00931A60">
      <w:pPr>
        <w:pStyle w:val="Heading2"/>
        <w:numPr>
          <w:ilvl w:val="1"/>
          <w:numId w:val="9"/>
        </w:numPr>
        <w:tabs>
          <w:tab w:val="left" w:pos="2884"/>
          <w:tab w:val="left" w:pos="2885"/>
        </w:tabs>
        <w:ind w:left="2884" w:hanging="722"/>
        <w:jc w:val="left"/>
      </w:pPr>
      <w:r>
        <w:t>УПРАВЛЕНИЕ НА ВОДНИ РИСКОВЕ И БЕДСТВИЯ</w:t>
      </w:r>
    </w:p>
    <w:p w14:paraId="58972802" w14:textId="77777777" w:rsidR="008A4B34" w:rsidRPr="00A808B1" w:rsidRDefault="008A4B34">
      <w:pPr>
        <w:pStyle w:val="BodyText"/>
        <w:spacing w:before="1"/>
        <w:rPr>
          <w:b/>
          <w:sz w:val="4"/>
          <w:szCs w:val="4"/>
        </w:rPr>
      </w:pPr>
    </w:p>
    <w:p w14:paraId="58972803" w14:textId="77777777" w:rsidR="008A4B34" w:rsidRDefault="00931A60">
      <w:pPr>
        <w:pStyle w:val="ListParagraph"/>
        <w:numPr>
          <w:ilvl w:val="0"/>
          <w:numId w:val="10"/>
        </w:numPr>
        <w:tabs>
          <w:tab w:val="left" w:pos="837"/>
        </w:tabs>
        <w:ind w:right="115" w:firstLine="0"/>
        <w:jc w:val="both"/>
        <w:rPr>
          <w:sz w:val="20"/>
        </w:rPr>
      </w:pPr>
      <w:r>
        <w:rPr>
          <w:b/>
          <w:sz w:val="20"/>
        </w:rPr>
        <w:t>ПРЕПОРЪЧВА</w:t>
      </w:r>
      <w:r>
        <w:rPr>
          <w:sz w:val="20"/>
        </w:rPr>
        <w:t xml:space="preserve"> присъединилите се страни да управляват водните рискове и бедствия по съвместен начин, да приемат и редовно </w:t>
      </w:r>
      <w:r>
        <w:rPr>
          <w:sz w:val="20"/>
        </w:rPr>
        <w:t>да преразглеждат политика за управление на водния риск като елемент от подхода към управлението на риска в страната, обхващащ всички опасности. За тази цел присъединилите се страни трябва:</w:t>
      </w:r>
    </w:p>
    <w:p w14:paraId="58972804" w14:textId="77777777" w:rsidR="008A4B34" w:rsidRPr="00A808B1" w:rsidRDefault="008A4B34">
      <w:pPr>
        <w:pStyle w:val="BodyText"/>
        <w:spacing w:before="11"/>
        <w:rPr>
          <w:sz w:val="4"/>
          <w:szCs w:val="4"/>
        </w:rPr>
      </w:pPr>
    </w:p>
    <w:p w14:paraId="58972805" w14:textId="77777777" w:rsidR="008A4B34" w:rsidRDefault="00931A60">
      <w:pPr>
        <w:pStyle w:val="ListParagraph"/>
        <w:numPr>
          <w:ilvl w:val="0"/>
          <w:numId w:val="6"/>
        </w:numPr>
        <w:tabs>
          <w:tab w:val="left" w:pos="837"/>
        </w:tabs>
        <w:ind w:hanging="721"/>
        <w:jc w:val="both"/>
        <w:rPr>
          <w:sz w:val="20"/>
        </w:rPr>
      </w:pPr>
      <w:r>
        <w:rPr>
          <w:sz w:val="20"/>
        </w:rPr>
        <w:t>Да се подготвят за бедствия, свързани с водата, като инвестират в:</w:t>
      </w:r>
    </w:p>
    <w:p w14:paraId="58972806" w14:textId="77777777" w:rsidR="008A4B34" w:rsidRPr="00A808B1" w:rsidRDefault="008A4B34">
      <w:pPr>
        <w:pStyle w:val="BodyText"/>
        <w:spacing w:before="11"/>
        <w:rPr>
          <w:sz w:val="4"/>
          <w:szCs w:val="4"/>
        </w:rPr>
      </w:pPr>
    </w:p>
    <w:p w14:paraId="58972807" w14:textId="77777777" w:rsidR="008A4B34" w:rsidRDefault="00931A60">
      <w:pPr>
        <w:pStyle w:val="ListParagraph"/>
        <w:numPr>
          <w:ilvl w:val="1"/>
          <w:numId w:val="6"/>
        </w:numPr>
        <w:tabs>
          <w:tab w:val="left" w:pos="830"/>
        </w:tabs>
        <w:ind w:right="114"/>
        <w:jc w:val="both"/>
        <w:rPr>
          <w:sz w:val="20"/>
        </w:rPr>
      </w:pPr>
      <w:r>
        <w:rPr>
          <w:sz w:val="20"/>
        </w:rPr>
        <w:t>Оценка на риска, за да помогне за приоритизирането на намаляването на риска от бедствия, възможностите за управление на извънредни ситуации и разработването на стратегии за финансова защит</w:t>
      </w:r>
      <w:r>
        <w:rPr>
          <w:sz w:val="20"/>
        </w:rPr>
        <w:t>а (които се използват за управление на финансовото въздействие от бедствия, осигуряват адекватен капацитет за управление и смекчаване на разходите от риска от бедствия, като по този начин се намаляват финансовата тежест и икономическите разходи от бедствия</w:t>
      </w:r>
      <w:r>
        <w:rPr>
          <w:sz w:val="20"/>
        </w:rPr>
        <w:t xml:space="preserve"> и позволяват бързо възстановяване на икономическата активност). В зависимост от заложените въпроси, оценката на риска може да вземе предвид частните реакции (адаптиране) към риска и реакциите при бедствия (отговор).</w:t>
      </w:r>
    </w:p>
    <w:p w14:paraId="58972808" w14:textId="77777777" w:rsidR="008A4B34" w:rsidRDefault="00931A60">
      <w:pPr>
        <w:pStyle w:val="ListParagraph"/>
        <w:numPr>
          <w:ilvl w:val="1"/>
          <w:numId w:val="6"/>
        </w:numPr>
        <w:tabs>
          <w:tab w:val="left" w:pos="829"/>
          <w:tab w:val="left" w:pos="830"/>
        </w:tabs>
        <w:spacing w:before="120"/>
        <w:rPr>
          <w:sz w:val="20"/>
        </w:rPr>
      </w:pPr>
      <w:r>
        <w:rPr>
          <w:sz w:val="20"/>
        </w:rPr>
        <w:t>Осъзнаване на риска от изложени или зас</w:t>
      </w:r>
      <w:r>
        <w:rPr>
          <w:sz w:val="20"/>
        </w:rPr>
        <w:t>егнати населения, общности и бизнеси.</w:t>
      </w:r>
    </w:p>
    <w:p w14:paraId="58972809" w14:textId="77777777" w:rsidR="008A4B34" w:rsidRDefault="00931A60">
      <w:pPr>
        <w:pStyle w:val="ListParagraph"/>
        <w:numPr>
          <w:ilvl w:val="1"/>
          <w:numId w:val="6"/>
        </w:numPr>
        <w:tabs>
          <w:tab w:val="left" w:pos="830"/>
        </w:tabs>
        <w:spacing w:before="121"/>
        <w:rPr>
          <w:sz w:val="20"/>
        </w:rPr>
      </w:pPr>
      <w:r>
        <w:rPr>
          <w:sz w:val="20"/>
        </w:rPr>
        <w:t>Определяне и редовно преразглеждане на приемливи нива на водни рискове, които отразяват обществените ценности.</w:t>
      </w:r>
    </w:p>
    <w:p w14:paraId="5897280A" w14:textId="77777777" w:rsidR="008A4B34" w:rsidRDefault="00931A60">
      <w:pPr>
        <w:pStyle w:val="ListParagraph"/>
        <w:numPr>
          <w:ilvl w:val="1"/>
          <w:numId w:val="6"/>
        </w:numPr>
        <w:tabs>
          <w:tab w:val="left" w:pos="830"/>
        </w:tabs>
        <w:spacing w:before="117"/>
        <w:ind w:right="123"/>
        <w:jc w:val="both"/>
        <w:rPr>
          <w:sz w:val="20"/>
        </w:rPr>
      </w:pPr>
      <w:r>
        <w:rPr>
          <w:sz w:val="20"/>
        </w:rPr>
        <w:t>Предотвратяване и смекчаване на риска чрез комбинация от мерки за структурна защита (т.е. мерки за предотвр</w:t>
      </w:r>
      <w:r>
        <w:rPr>
          <w:sz w:val="20"/>
        </w:rPr>
        <w:t>атяване на инженерни или строителни работи, насочени към намаляване на излагането на опасности чрез</w:t>
      </w:r>
    </w:p>
    <w:p w14:paraId="5897280B" w14:textId="77777777" w:rsidR="008A4B34" w:rsidRDefault="008A4B34">
      <w:pPr>
        <w:jc w:val="both"/>
        <w:rPr>
          <w:sz w:val="20"/>
        </w:rPr>
        <w:sectPr w:rsidR="008A4B34">
          <w:headerReference w:type="even" r:id="rId22"/>
          <w:headerReference w:type="default" r:id="rId23"/>
          <w:pgSz w:w="11910" w:h="16840"/>
          <w:pgMar w:top="1320" w:right="1300" w:bottom="280" w:left="1300" w:header="849" w:footer="0" w:gutter="0"/>
          <w:cols w:space="720"/>
        </w:sectPr>
      </w:pPr>
    </w:p>
    <w:p w14:paraId="5897280C" w14:textId="77777777" w:rsidR="008A4B34" w:rsidRDefault="00931A60">
      <w:pPr>
        <w:pStyle w:val="BodyText"/>
        <w:spacing w:before="90"/>
        <w:ind w:left="829" w:right="115"/>
        <w:jc w:val="both"/>
      </w:pPr>
      <w:r>
        <w:lastRenderedPageBreak/>
        <w:t>защита на активи или общности или контролиране на променливостта на природните явления) и неструктурни мерки за предотвратяване и намаляване на рисковете (включително базирани на екосистеми решения и зелени инфраструктури, когато е необходимо), и, когато е</w:t>
      </w:r>
      <w:r>
        <w:t xml:space="preserve"> необходимо, предоставяне на стимули и инструменти за насърчаване на частните мерки за самозащита и изграждане на устойчивост.</w:t>
      </w:r>
    </w:p>
    <w:p w14:paraId="5897280D" w14:textId="77777777" w:rsidR="008A4B34" w:rsidRDefault="00931A60">
      <w:pPr>
        <w:pStyle w:val="ListParagraph"/>
        <w:numPr>
          <w:ilvl w:val="1"/>
          <w:numId w:val="6"/>
        </w:numPr>
        <w:tabs>
          <w:tab w:val="left" w:pos="830"/>
        </w:tabs>
        <w:spacing w:before="122"/>
        <w:ind w:right="129"/>
        <w:rPr>
          <w:sz w:val="20"/>
        </w:rPr>
      </w:pPr>
      <w:r>
        <w:rPr>
          <w:sz w:val="20"/>
        </w:rPr>
        <w:t>Възможности за спешно реагиране както при известни опасности и заплахи, така и при нови, непредвидени и сложни събития.</w:t>
      </w:r>
    </w:p>
    <w:p w14:paraId="5897280E" w14:textId="77777777" w:rsidR="008A4B34" w:rsidRDefault="00931A60">
      <w:pPr>
        <w:pStyle w:val="ListParagraph"/>
        <w:numPr>
          <w:ilvl w:val="1"/>
          <w:numId w:val="6"/>
        </w:numPr>
        <w:tabs>
          <w:tab w:val="left" w:pos="830"/>
        </w:tabs>
        <w:spacing w:before="119"/>
        <w:ind w:right="116"/>
        <w:rPr>
          <w:sz w:val="20"/>
        </w:rPr>
      </w:pPr>
      <w:r>
        <w:rPr>
          <w:sz w:val="20"/>
        </w:rPr>
        <w:t xml:space="preserve">Социални </w:t>
      </w:r>
      <w:r>
        <w:rPr>
          <w:sz w:val="20"/>
        </w:rPr>
        <w:t>политики и финансови механизми за смекчаване на въздействието на загубите върху благосъстоянието и осигуряване на бързо възстановяване и реконструкция, които намаляват бъдещата уязвимост.</w:t>
      </w:r>
    </w:p>
    <w:p w14:paraId="5897280F" w14:textId="77777777" w:rsidR="008A4B34" w:rsidRDefault="00931A60">
      <w:pPr>
        <w:pStyle w:val="ListParagraph"/>
        <w:numPr>
          <w:ilvl w:val="1"/>
          <w:numId w:val="6"/>
        </w:numPr>
        <w:tabs>
          <w:tab w:val="left" w:pos="830"/>
        </w:tabs>
        <w:spacing w:before="121"/>
        <w:rPr>
          <w:sz w:val="20"/>
        </w:rPr>
      </w:pPr>
      <w:r>
        <w:rPr>
          <w:sz w:val="20"/>
        </w:rPr>
        <w:t>Прозрачност, отчетност и обществена осведоменост при вземането на ре</w:t>
      </w:r>
      <w:r>
        <w:rPr>
          <w:sz w:val="20"/>
        </w:rPr>
        <w:t>шения, свързани с водните рискове.</w:t>
      </w:r>
    </w:p>
    <w:p w14:paraId="58972810" w14:textId="77777777" w:rsidR="008A4B34" w:rsidRPr="00A808B1" w:rsidRDefault="008A4B34">
      <w:pPr>
        <w:pStyle w:val="BodyText"/>
        <w:spacing w:before="10"/>
        <w:rPr>
          <w:sz w:val="6"/>
          <w:szCs w:val="6"/>
        </w:rPr>
      </w:pPr>
    </w:p>
    <w:p w14:paraId="58972811" w14:textId="77777777" w:rsidR="008A4B34" w:rsidRDefault="00931A60">
      <w:pPr>
        <w:pStyle w:val="ListParagraph"/>
        <w:numPr>
          <w:ilvl w:val="0"/>
          <w:numId w:val="6"/>
        </w:numPr>
        <w:tabs>
          <w:tab w:val="left" w:pos="837"/>
        </w:tabs>
        <w:ind w:left="116" w:right="122" w:firstLine="0"/>
        <w:jc w:val="both"/>
        <w:rPr>
          <w:sz w:val="20"/>
        </w:rPr>
      </w:pPr>
      <w:r>
        <w:rPr>
          <w:sz w:val="20"/>
        </w:rPr>
        <w:t>Да подобряват съгласуваността на политиките по отношение на адаптирането към изменението на климата, управлението на водите, управлението на земята, териториалното планиране, опазването на екосистемите и биологичното раз</w:t>
      </w:r>
      <w:r>
        <w:rPr>
          <w:sz w:val="20"/>
        </w:rPr>
        <w:t>нообразие и намаляването на риска от бедствия.</w:t>
      </w:r>
    </w:p>
    <w:p w14:paraId="58972812" w14:textId="77777777" w:rsidR="008A4B34" w:rsidRPr="00A808B1" w:rsidRDefault="008A4B34">
      <w:pPr>
        <w:pStyle w:val="BodyText"/>
        <w:spacing w:before="8"/>
        <w:rPr>
          <w:sz w:val="6"/>
          <w:szCs w:val="6"/>
        </w:rPr>
      </w:pPr>
    </w:p>
    <w:p w14:paraId="58972813" w14:textId="77777777" w:rsidR="008A4B34" w:rsidRDefault="00931A60">
      <w:pPr>
        <w:pStyle w:val="ListParagraph"/>
        <w:numPr>
          <w:ilvl w:val="0"/>
          <w:numId w:val="6"/>
        </w:numPr>
        <w:tabs>
          <w:tab w:val="left" w:pos="837"/>
        </w:tabs>
        <w:spacing w:before="1"/>
        <w:ind w:left="116" w:right="115" w:firstLine="0"/>
        <w:jc w:val="both"/>
        <w:rPr>
          <w:sz w:val="20"/>
        </w:rPr>
      </w:pPr>
      <w:r>
        <w:rPr>
          <w:sz w:val="20"/>
        </w:rPr>
        <w:t>Да вземат предвид спецификите на водните рискове, свързани с изменението на климата за селското стопанство, по-специално чрез насърчаване на благоприятна среда за адаптиране на селското стопанство и водните с</w:t>
      </w:r>
      <w:r>
        <w:rPr>
          <w:sz w:val="20"/>
        </w:rPr>
        <w:t>истеми и чрез комбиниране на измеренията и мащабите, при които политиките за климата, водите и селското стопанство се пресичат.</w:t>
      </w:r>
    </w:p>
    <w:p w14:paraId="58972814" w14:textId="77777777" w:rsidR="008A4B34" w:rsidRPr="00A808B1" w:rsidRDefault="008A4B34">
      <w:pPr>
        <w:pStyle w:val="BodyText"/>
        <w:rPr>
          <w:sz w:val="6"/>
          <w:szCs w:val="6"/>
        </w:rPr>
      </w:pPr>
    </w:p>
    <w:p w14:paraId="58972815" w14:textId="77777777" w:rsidR="008A4B34" w:rsidRDefault="00931A60">
      <w:pPr>
        <w:pStyle w:val="ListParagraph"/>
        <w:numPr>
          <w:ilvl w:val="0"/>
          <w:numId w:val="6"/>
        </w:numPr>
        <w:tabs>
          <w:tab w:val="left" w:pos="837"/>
        </w:tabs>
        <w:ind w:left="116" w:right="121" w:firstLine="0"/>
        <w:jc w:val="both"/>
        <w:rPr>
          <w:sz w:val="20"/>
        </w:rPr>
      </w:pPr>
      <w:r>
        <w:rPr>
          <w:sz w:val="20"/>
        </w:rPr>
        <w:t>Да вземат предвид особеностите на водните рискове, свързани с градовете, като признаят, че градските райони и техните хинтерланди са взаимосвързани чрез водосбори и системи за подземни води, и по-специално да използват градски политики и финансиране на инф</w:t>
      </w:r>
      <w:r>
        <w:rPr>
          <w:sz w:val="20"/>
        </w:rPr>
        <w:t>раструктурата за насърчаване на чувствително към водите градско планиране.</w:t>
      </w:r>
    </w:p>
    <w:p w14:paraId="58972816" w14:textId="77777777" w:rsidR="008A4B34" w:rsidRPr="00A808B1" w:rsidRDefault="008A4B34">
      <w:pPr>
        <w:pStyle w:val="BodyText"/>
        <w:spacing w:before="6"/>
        <w:rPr>
          <w:sz w:val="6"/>
          <w:szCs w:val="6"/>
        </w:rPr>
      </w:pPr>
    </w:p>
    <w:p w14:paraId="58972817" w14:textId="77777777" w:rsidR="008A4B34" w:rsidRDefault="00931A60">
      <w:pPr>
        <w:pStyle w:val="Heading2"/>
        <w:numPr>
          <w:ilvl w:val="1"/>
          <w:numId w:val="9"/>
        </w:numPr>
        <w:tabs>
          <w:tab w:val="left" w:pos="3011"/>
          <w:tab w:val="left" w:pos="3012"/>
        </w:tabs>
        <w:ind w:left="3011" w:hanging="722"/>
        <w:jc w:val="left"/>
      </w:pPr>
      <w:r>
        <w:t>ГАРАНТИРАНЕ НА ДОБРО УПРАВЛЕНИЕ НА ВОДИТЕ</w:t>
      </w:r>
    </w:p>
    <w:p w14:paraId="58972818" w14:textId="77777777" w:rsidR="008A4B34" w:rsidRPr="00A808B1" w:rsidRDefault="008A4B34">
      <w:pPr>
        <w:pStyle w:val="BodyText"/>
        <w:spacing w:before="1"/>
        <w:rPr>
          <w:b/>
          <w:sz w:val="6"/>
          <w:szCs w:val="6"/>
        </w:rPr>
      </w:pPr>
    </w:p>
    <w:p w14:paraId="58972819" w14:textId="77777777" w:rsidR="008A4B34" w:rsidRDefault="00931A60">
      <w:pPr>
        <w:pStyle w:val="ListParagraph"/>
        <w:numPr>
          <w:ilvl w:val="0"/>
          <w:numId w:val="10"/>
        </w:numPr>
        <w:tabs>
          <w:tab w:val="left" w:pos="837"/>
        </w:tabs>
        <w:spacing w:line="276" w:lineRule="auto"/>
        <w:ind w:right="112" w:firstLine="0"/>
        <w:jc w:val="both"/>
        <w:rPr>
          <w:sz w:val="20"/>
        </w:rPr>
      </w:pPr>
      <w:r>
        <w:rPr>
          <w:b/>
          <w:sz w:val="20"/>
        </w:rPr>
        <w:t>ПРЕПОРЪЧВА</w:t>
      </w:r>
      <w:r>
        <w:rPr>
          <w:sz w:val="20"/>
        </w:rPr>
        <w:t xml:space="preserve"> присъединилите се страни да подобрят ефективността и ефикасността, доверието и ангажираността с управлението на водите, като в</w:t>
      </w:r>
      <w:r>
        <w:rPr>
          <w:sz w:val="20"/>
        </w:rPr>
        <w:t>земат предвид спецификите на управлението за управление на подземните води. Управлението на водите включва политически, институционални и административни правила, практики и процеси (формални и неформални), чрез които се вземат и изпълняват решенията, заин</w:t>
      </w:r>
      <w:r>
        <w:rPr>
          <w:sz w:val="20"/>
        </w:rPr>
        <w:t>тересованите страни могат да изразят своите интереси и да бъдат взети под внимание, а лицата, вземащи решения, се държат отговорни при управлението на водни ресурси и предоставянето на водни услуги. За тази цел присъединилите се страни трябва:</w:t>
      </w:r>
    </w:p>
    <w:p w14:paraId="5897281A" w14:textId="77777777" w:rsidR="008A4B34" w:rsidRPr="00A808B1" w:rsidRDefault="008A4B34">
      <w:pPr>
        <w:pStyle w:val="BodyText"/>
        <w:rPr>
          <w:sz w:val="6"/>
          <w:szCs w:val="6"/>
        </w:rPr>
      </w:pPr>
    </w:p>
    <w:p w14:paraId="5897281B" w14:textId="77777777" w:rsidR="008A4B34" w:rsidRDefault="00931A60">
      <w:pPr>
        <w:pStyle w:val="ListParagraph"/>
        <w:numPr>
          <w:ilvl w:val="0"/>
          <w:numId w:val="5"/>
        </w:numPr>
        <w:tabs>
          <w:tab w:val="left" w:pos="837"/>
        </w:tabs>
        <w:ind w:right="116" w:firstLine="0"/>
        <w:jc w:val="both"/>
        <w:rPr>
          <w:sz w:val="20"/>
        </w:rPr>
      </w:pPr>
      <w:r>
        <w:rPr>
          <w:sz w:val="20"/>
        </w:rPr>
        <w:t>Ясно да раз</w:t>
      </w:r>
      <w:r>
        <w:rPr>
          <w:sz w:val="20"/>
        </w:rPr>
        <w:t>пределят и разграничат ролите и отговорностите за създаването на водна политика, прилагането на политиката, оперативното управление и регулиране и да насърчават координацията между тези отговорни органи.</w:t>
      </w:r>
    </w:p>
    <w:p w14:paraId="5897281C" w14:textId="77777777" w:rsidR="008A4B34" w:rsidRPr="00A808B1" w:rsidRDefault="008A4B34">
      <w:pPr>
        <w:pStyle w:val="BodyText"/>
        <w:spacing w:before="9"/>
        <w:rPr>
          <w:sz w:val="6"/>
          <w:szCs w:val="6"/>
        </w:rPr>
      </w:pPr>
    </w:p>
    <w:p w14:paraId="5897281D" w14:textId="77777777" w:rsidR="008A4B34" w:rsidRDefault="00931A60">
      <w:pPr>
        <w:pStyle w:val="ListParagraph"/>
        <w:numPr>
          <w:ilvl w:val="0"/>
          <w:numId w:val="5"/>
        </w:numPr>
        <w:tabs>
          <w:tab w:val="left" w:pos="837"/>
        </w:tabs>
        <w:ind w:right="124" w:firstLine="0"/>
        <w:jc w:val="both"/>
        <w:rPr>
          <w:sz w:val="20"/>
        </w:rPr>
      </w:pPr>
      <w:r>
        <w:rPr>
          <w:sz w:val="20"/>
        </w:rPr>
        <w:t>Да управляват водата в подходящ(и) мащаб(и) в рамки</w:t>
      </w:r>
      <w:r>
        <w:rPr>
          <w:sz w:val="20"/>
        </w:rPr>
        <w:t>те на интегрирани системи за управление на басейна, за да отразяват местните условия, и да насърчават координацията между различните мащаби.</w:t>
      </w:r>
    </w:p>
    <w:p w14:paraId="5897281E" w14:textId="77777777" w:rsidR="008A4B34" w:rsidRPr="00A808B1" w:rsidRDefault="008A4B34">
      <w:pPr>
        <w:pStyle w:val="BodyText"/>
        <w:spacing w:before="11"/>
        <w:rPr>
          <w:sz w:val="6"/>
          <w:szCs w:val="6"/>
        </w:rPr>
      </w:pPr>
    </w:p>
    <w:p w14:paraId="5897281F" w14:textId="77777777" w:rsidR="008A4B34" w:rsidRDefault="00931A60">
      <w:pPr>
        <w:pStyle w:val="ListParagraph"/>
        <w:numPr>
          <w:ilvl w:val="0"/>
          <w:numId w:val="5"/>
        </w:numPr>
        <w:tabs>
          <w:tab w:val="left" w:pos="837"/>
        </w:tabs>
        <w:ind w:right="113" w:firstLine="0"/>
        <w:jc w:val="both"/>
        <w:rPr>
          <w:sz w:val="20"/>
        </w:rPr>
      </w:pPr>
      <w:r>
        <w:rPr>
          <w:sz w:val="20"/>
        </w:rPr>
        <w:t xml:space="preserve">Да насърчават съгласуваността на политиките чрез ефективна междусекторна координация, особено между политиките за </w:t>
      </w:r>
      <w:r>
        <w:rPr>
          <w:sz w:val="20"/>
        </w:rPr>
        <w:t>водите и околната среда, здравеопазването, енергетиката, селското стопанство, промишлеността, териториалното планиране и използването на земята.</w:t>
      </w:r>
    </w:p>
    <w:p w14:paraId="58972820" w14:textId="77777777" w:rsidR="008A4B34" w:rsidRPr="00A808B1" w:rsidRDefault="008A4B34">
      <w:pPr>
        <w:pStyle w:val="BodyText"/>
        <w:spacing w:before="9"/>
        <w:rPr>
          <w:sz w:val="6"/>
          <w:szCs w:val="6"/>
        </w:rPr>
      </w:pPr>
    </w:p>
    <w:p w14:paraId="58972821" w14:textId="77777777" w:rsidR="008A4B34" w:rsidRDefault="00931A60">
      <w:pPr>
        <w:pStyle w:val="ListParagraph"/>
        <w:numPr>
          <w:ilvl w:val="0"/>
          <w:numId w:val="5"/>
        </w:numPr>
        <w:tabs>
          <w:tab w:val="left" w:pos="837"/>
        </w:tabs>
        <w:ind w:right="126" w:firstLine="0"/>
        <w:jc w:val="both"/>
        <w:rPr>
          <w:sz w:val="20"/>
        </w:rPr>
      </w:pPr>
      <w:r>
        <w:rPr>
          <w:sz w:val="20"/>
        </w:rPr>
        <w:t>Да адаптират нивото на капацитет на отговорните органи към сложността на водните предизвикателства, които трябва да бъдат посрещнати, и към набора от компетенции, необходими за изпълнение на техните задължения.</w:t>
      </w:r>
    </w:p>
    <w:p w14:paraId="58972822" w14:textId="77777777" w:rsidR="008A4B34" w:rsidRPr="00A808B1" w:rsidRDefault="008A4B34">
      <w:pPr>
        <w:pStyle w:val="BodyText"/>
        <w:rPr>
          <w:sz w:val="6"/>
          <w:szCs w:val="6"/>
        </w:rPr>
      </w:pPr>
    </w:p>
    <w:p w14:paraId="58972823" w14:textId="77777777" w:rsidR="008A4B34" w:rsidRDefault="00931A60">
      <w:pPr>
        <w:pStyle w:val="ListParagraph"/>
        <w:numPr>
          <w:ilvl w:val="0"/>
          <w:numId w:val="5"/>
        </w:numPr>
        <w:tabs>
          <w:tab w:val="left" w:pos="837"/>
        </w:tabs>
        <w:ind w:right="116" w:firstLine="0"/>
        <w:jc w:val="both"/>
        <w:rPr>
          <w:sz w:val="20"/>
        </w:rPr>
      </w:pPr>
      <w:r>
        <w:rPr>
          <w:sz w:val="20"/>
        </w:rPr>
        <w:t>Да съставят, актуализират и споделят навреме</w:t>
      </w:r>
      <w:r>
        <w:rPr>
          <w:sz w:val="20"/>
        </w:rPr>
        <w:t>нни, последователни, сравними и свързани с политиката данни и информация за водите и да ги използват за насочване, оценка и подобряване на политиката за водите.</w:t>
      </w:r>
    </w:p>
    <w:p w14:paraId="58972824" w14:textId="77777777" w:rsidR="008A4B34" w:rsidRPr="00A808B1" w:rsidRDefault="008A4B34">
      <w:pPr>
        <w:pStyle w:val="BodyText"/>
        <w:spacing w:before="10"/>
        <w:rPr>
          <w:sz w:val="6"/>
          <w:szCs w:val="6"/>
        </w:rPr>
      </w:pPr>
    </w:p>
    <w:p w14:paraId="58972825" w14:textId="77777777" w:rsidR="008A4B34" w:rsidRDefault="00931A60">
      <w:pPr>
        <w:pStyle w:val="ListParagraph"/>
        <w:numPr>
          <w:ilvl w:val="0"/>
          <w:numId w:val="5"/>
        </w:numPr>
        <w:tabs>
          <w:tab w:val="left" w:pos="837"/>
        </w:tabs>
        <w:spacing w:before="1"/>
        <w:ind w:right="123" w:firstLine="0"/>
        <w:jc w:val="both"/>
        <w:rPr>
          <w:sz w:val="20"/>
        </w:rPr>
      </w:pPr>
      <w:r>
        <w:rPr>
          <w:sz w:val="20"/>
        </w:rPr>
        <w:t>Да се уверят, че споразуменията за управление спомагат за мобилизирането на финансиране за вода и разпределянето на финансови ресурси по ефективен, прозрачен и навременен начин.</w:t>
      </w:r>
    </w:p>
    <w:p w14:paraId="58972826" w14:textId="77777777" w:rsidR="008A4B34" w:rsidRPr="00A808B1" w:rsidRDefault="008A4B34">
      <w:pPr>
        <w:pStyle w:val="BodyText"/>
        <w:spacing w:before="8"/>
        <w:rPr>
          <w:sz w:val="6"/>
          <w:szCs w:val="6"/>
        </w:rPr>
      </w:pPr>
    </w:p>
    <w:p w14:paraId="58972827" w14:textId="77777777" w:rsidR="008A4B34" w:rsidRDefault="00931A60">
      <w:pPr>
        <w:pStyle w:val="ListParagraph"/>
        <w:numPr>
          <w:ilvl w:val="0"/>
          <w:numId w:val="5"/>
        </w:numPr>
        <w:tabs>
          <w:tab w:val="left" w:pos="837"/>
        </w:tabs>
        <w:ind w:right="124" w:firstLine="0"/>
        <w:jc w:val="both"/>
        <w:rPr>
          <w:sz w:val="20"/>
        </w:rPr>
      </w:pPr>
      <w:r>
        <w:rPr>
          <w:sz w:val="20"/>
        </w:rPr>
        <w:t>Да гарантират, че стабилните регулаторни рамки за управление на водите се при</w:t>
      </w:r>
      <w:r>
        <w:rPr>
          <w:sz w:val="20"/>
        </w:rPr>
        <w:t>лагат и налагат ефективно в преследване на обществения интерес.</w:t>
      </w:r>
    </w:p>
    <w:p w14:paraId="58972828" w14:textId="77777777" w:rsidR="008A4B34" w:rsidRPr="00A808B1" w:rsidRDefault="008A4B34">
      <w:pPr>
        <w:pStyle w:val="BodyText"/>
        <w:spacing w:before="11"/>
        <w:rPr>
          <w:sz w:val="6"/>
          <w:szCs w:val="6"/>
        </w:rPr>
      </w:pPr>
    </w:p>
    <w:p w14:paraId="58972829" w14:textId="77777777" w:rsidR="008A4B34" w:rsidRDefault="00931A60">
      <w:pPr>
        <w:pStyle w:val="ListParagraph"/>
        <w:numPr>
          <w:ilvl w:val="0"/>
          <w:numId w:val="5"/>
        </w:numPr>
        <w:tabs>
          <w:tab w:val="left" w:pos="837"/>
        </w:tabs>
        <w:ind w:right="124" w:firstLine="0"/>
        <w:jc w:val="both"/>
        <w:rPr>
          <w:sz w:val="20"/>
        </w:rPr>
      </w:pPr>
      <w:r>
        <w:rPr>
          <w:sz w:val="20"/>
        </w:rPr>
        <w:t>Да насърчават приемането и прилагането на иновативни практики за управление на водите сред отговорните органи, нива на управление и съответните заинтересовани страни.</w:t>
      </w:r>
    </w:p>
    <w:p w14:paraId="5897282A" w14:textId="77777777" w:rsidR="008A4B34" w:rsidRDefault="008A4B34">
      <w:pPr>
        <w:jc w:val="both"/>
        <w:rPr>
          <w:sz w:val="20"/>
        </w:rPr>
        <w:sectPr w:rsidR="008A4B34">
          <w:pgSz w:w="11910" w:h="16840"/>
          <w:pgMar w:top="1320" w:right="1300" w:bottom="280" w:left="1300" w:header="849" w:footer="0" w:gutter="0"/>
          <w:cols w:space="720"/>
        </w:sectPr>
      </w:pPr>
    </w:p>
    <w:p w14:paraId="5897282B" w14:textId="77777777" w:rsidR="008A4B34" w:rsidRDefault="00931A60">
      <w:pPr>
        <w:pStyle w:val="ListParagraph"/>
        <w:numPr>
          <w:ilvl w:val="0"/>
          <w:numId w:val="5"/>
        </w:numPr>
        <w:tabs>
          <w:tab w:val="left" w:pos="837"/>
        </w:tabs>
        <w:spacing w:before="90"/>
        <w:ind w:right="127" w:firstLine="0"/>
        <w:jc w:val="both"/>
        <w:rPr>
          <w:sz w:val="20"/>
        </w:rPr>
      </w:pPr>
      <w:r>
        <w:rPr>
          <w:sz w:val="20"/>
        </w:rPr>
        <w:lastRenderedPageBreak/>
        <w:t>Да вне</w:t>
      </w:r>
      <w:r>
        <w:rPr>
          <w:sz w:val="20"/>
        </w:rPr>
        <w:t>дряват практиките за почтеност и прозрачност във водните политики, институциите за водите и рамките за управление на водите за по-голяма отчетност и доверие при вземането на решения.</w:t>
      </w:r>
    </w:p>
    <w:p w14:paraId="5897282C" w14:textId="77777777" w:rsidR="008A4B34" w:rsidRPr="005A333E" w:rsidRDefault="008A4B34">
      <w:pPr>
        <w:pStyle w:val="BodyText"/>
        <w:rPr>
          <w:sz w:val="6"/>
          <w:szCs w:val="6"/>
        </w:rPr>
      </w:pPr>
    </w:p>
    <w:p w14:paraId="5897282D" w14:textId="77777777" w:rsidR="008A4B34" w:rsidRDefault="00931A60">
      <w:pPr>
        <w:pStyle w:val="ListParagraph"/>
        <w:numPr>
          <w:ilvl w:val="0"/>
          <w:numId w:val="5"/>
        </w:numPr>
        <w:tabs>
          <w:tab w:val="left" w:pos="837"/>
        </w:tabs>
        <w:ind w:right="116" w:firstLine="0"/>
        <w:jc w:val="both"/>
        <w:rPr>
          <w:sz w:val="20"/>
        </w:rPr>
      </w:pPr>
      <w:r>
        <w:rPr>
          <w:sz w:val="20"/>
        </w:rPr>
        <w:t xml:space="preserve">Да насърчават ангажираността на заинтересованите страни за информиран и </w:t>
      </w:r>
      <w:r>
        <w:rPr>
          <w:sz w:val="20"/>
        </w:rPr>
        <w:t>ориентиран към резултатите принос към разработването и прилагането на политиката в областта на водите.</w:t>
      </w:r>
    </w:p>
    <w:p w14:paraId="5897282E" w14:textId="77777777" w:rsidR="008A4B34" w:rsidRPr="005A333E" w:rsidRDefault="008A4B34">
      <w:pPr>
        <w:pStyle w:val="BodyText"/>
        <w:spacing w:before="11"/>
        <w:rPr>
          <w:sz w:val="6"/>
          <w:szCs w:val="6"/>
        </w:rPr>
      </w:pPr>
    </w:p>
    <w:p w14:paraId="5897282F" w14:textId="77777777" w:rsidR="008A4B34" w:rsidRDefault="00931A60">
      <w:pPr>
        <w:pStyle w:val="ListParagraph"/>
        <w:numPr>
          <w:ilvl w:val="0"/>
          <w:numId w:val="5"/>
        </w:numPr>
        <w:tabs>
          <w:tab w:val="left" w:pos="837"/>
        </w:tabs>
        <w:ind w:right="120" w:firstLine="0"/>
        <w:jc w:val="both"/>
        <w:rPr>
          <w:sz w:val="20"/>
        </w:rPr>
      </w:pPr>
      <w:r>
        <w:rPr>
          <w:sz w:val="20"/>
        </w:rPr>
        <w:t>Да насърчават рамки за управление на водата, които помагат за управлението на компромисите между потребителите на вода, селските и градските райони и поколенията.</w:t>
      </w:r>
    </w:p>
    <w:p w14:paraId="58972830" w14:textId="77777777" w:rsidR="008A4B34" w:rsidRPr="005A333E" w:rsidRDefault="008A4B34">
      <w:pPr>
        <w:pStyle w:val="BodyText"/>
        <w:spacing w:before="8"/>
        <w:rPr>
          <w:sz w:val="6"/>
          <w:szCs w:val="6"/>
        </w:rPr>
      </w:pPr>
    </w:p>
    <w:p w14:paraId="58972831" w14:textId="77777777" w:rsidR="008A4B34" w:rsidRDefault="00931A60">
      <w:pPr>
        <w:pStyle w:val="ListParagraph"/>
        <w:numPr>
          <w:ilvl w:val="0"/>
          <w:numId w:val="5"/>
        </w:numPr>
        <w:tabs>
          <w:tab w:val="left" w:pos="837"/>
        </w:tabs>
        <w:ind w:right="114" w:firstLine="0"/>
        <w:jc w:val="both"/>
        <w:rPr>
          <w:sz w:val="20"/>
        </w:rPr>
      </w:pPr>
      <w:r>
        <w:rPr>
          <w:sz w:val="20"/>
        </w:rPr>
        <w:t>Да насърчават редовен мониторинг и оценка на политиката в областта на водите и управлението,</w:t>
      </w:r>
      <w:r>
        <w:rPr>
          <w:sz w:val="20"/>
        </w:rPr>
        <w:t xml:space="preserve"> където е уместно, споделяне на резултатите с обществеността и извършване на корекции, когато е необходимо.</w:t>
      </w:r>
    </w:p>
    <w:p w14:paraId="58972832" w14:textId="77777777" w:rsidR="008A4B34" w:rsidRPr="005A333E" w:rsidRDefault="008A4B34">
      <w:pPr>
        <w:pStyle w:val="BodyText"/>
        <w:spacing w:before="9"/>
        <w:rPr>
          <w:sz w:val="6"/>
          <w:szCs w:val="6"/>
        </w:rPr>
      </w:pPr>
    </w:p>
    <w:p w14:paraId="58972833" w14:textId="77777777" w:rsidR="008A4B34" w:rsidRDefault="00931A60">
      <w:pPr>
        <w:pStyle w:val="Heading2"/>
        <w:numPr>
          <w:ilvl w:val="1"/>
          <w:numId w:val="9"/>
        </w:numPr>
        <w:tabs>
          <w:tab w:val="left" w:pos="1006"/>
          <w:tab w:val="left" w:pos="1007"/>
        </w:tabs>
        <w:ind w:left="3752" w:right="290" w:hanging="3467"/>
        <w:jc w:val="left"/>
      </w:pPr>
      <w:r>
        <w:t>ГАРАНТИРАНЕ НА УСТОЙЧИВО ФИНАНСИРАНЕ, ИНВЕСТИЦИИ И ЦЕНООБРАЗУВАНЕ ЗА ВОДА И ВОДНИ УСЛУГИ</w:t>
      </w:r>
    </w:p>
    <w:p w14:paraId="58972834" w14:textId="77777777" w:rsidR="008A4B34" w:rsidRPr="005A333E" w:rsidRDefault="008A4B34">
      <w:pPr>
        <w:pStyle w:val="BodyText"/>
        <w:spacing w:before="11"/>
        <w:rPr>
          <w:b/>
          <w:sz w:val="6"/>
          <w:szCs w:val="6"/>
        </w:rPr>
      </w:pPr>
    </w:p>
    <w:p w14:paraId="58972835" w14:textId="77777777" w:rsidR="008A4B34" w:rsidRDefault="00931A60">
      <w:pPr>
        <w:pStyle w:val="ListParagraph"/>
        <w:numPr>
          <w:ilvl w:val="0"/>
          <w:numId w:val="10"/>
        </w:numPr>
        <w:tabs>
          <w:tab w:val="left" w:pos="837"/>
        </w:tabs>
        <w:spacing w:line="276" w:lineRule="auto"/>
        <w:ind w:right="112" w:firstLine="0"/>
        <w:jc w:val="both"/>
        <w:rPr>
          <w:sz w:val="20"/>
        </w:rPr>
      </w:pPr>
      <w:r>
        <w:rPr>
          <w:b/>
          <w:bCs/>
          <w:sz w:val="20"/>
        </w:rPr>
        <w:t>ПРЕПОРЪЧВА</w:t>
      </w:r>
      <w:r>
        <w:rPr>
          <w:sz w:val="20"/>
        </w:rPr>
        <w:t xml:space="preserve"> присъединилите се страни да установят мерки за</w:t>
      </w:r>
      <w:r>
        <w:rPr>
          <w:sz w:val="20"/>
        </w:rPr>
        <w:t xml:space="preserve"> устойчиво финансиране на водните услуги, водните инфраструктури, управлението на водните ресурси и опазването на свързаните с водата екосистеми. За тази цел присъединилите се страни трябва:</w:t>
      </w:r>
    </w:p>
    <w:p w14:paraId="58972836" w14:textId="77777777" w:rsidR="008A4B34" w:rsidRPr="005A333E" w:rsidRDefault="008A4B34">
      <w:pPr>
        <w:pStyle w:val="BodyText"/>
        <w:rPr>
          <w:sz w:val="6"/>
          <w:szCs w:val="6"/>
        </w:rPr>
      </w:pPr>
    </w:p>
    <w:p w14:paraId="58972837" w14:textId="77777777" w:rsidR="008A4B34" w:rsidRDefault="00931A60">
      <w:pPr>
        <w:pStyle w:val="ListParagraph"/>
        <w:numPr>
          <w:ilvl w:val="0"/>
          <w:numId w:val="4"/>
        </w:numPr>
        <w:tabs>
          <w:tab w:val="left" w:pos="837"/>
        </w:tabs>
        <w:ind w:right="125" w:firstLine="0"/>
        <w:jc w:val="both"/>
        <w:rPr>
          <w:sz w:val="20"/>
        </w:rPr>
      </w:pPr>
      <w:r>
        <w:rPr>
          <w:sz w:val="20"/>
        </w:rPr>
        <w:t>Да вземат предвид следните четири принципа за финансиране на упр</w:t>
      </w:r>
      <w:r>
        <w:rPr>
          <w:sz w:val="20"/>
        </w:rPr>
        <w:t>авлението на водните ресурси: Замърсителят плаща, бенефициерът плаща, справедливост и съгласуваност между политиките, които засягат водните ресурси.</w:t>
      </w:r>
    </w:p>
    <w:p w14:paraId="58972838" w14:textId="77777777" w:rsidR="008A4B34" w:rsidRPr="005A333E" w:rsidRDefault="008A4B34">
      <w:pPr>
        <w:pStyle w:val="BodyText"/>
        <w:spacing w:before="10"/>
        <w:rPr>
          <w:sz w:val="6"/>
          <w:szCs w:val="6"/>
        </w:rPr>
      </w:pPr>
    </w:p>
    <w:p w14:paraId="58972839" w14:textId="77777777" w:rsidR="008A4B34" w:rsidRDefault="00931A60">
      <w:pPr>
        <w:pStyle w:val="ListParagraph"/>
        <w:numPr>
          <w:ilvl w:val="0"/>
          <w:numId w:val="4"/>
        </w:numPr>
        <w:tabs>
          <w:tab w:val="left" w:pos="837"/>
        </w:tabs>
        <w:spacing w:before="1"/>
        <w:ind w:left="836" w:hanging="721"/>
        <w:jc w:val="both"/>
        <w:rPr>
          <w:sz w:val="20"/>
        </w:rPr>
      </w:pPr>
      <w:r>
        <w:rPr>
          <w:sz w:val="20"/>
        </w:rPr>
        <w:t>Да се стремят към най-голяма социална възвращаемост на инвестициите, например чрез:</w:t>
      </w:r>
    </w:p>
    <w:p w14:paraId="5897283A" w14:textId="77777777" w:rsidR="008A4B34" w:rsidRPr="005A333E" w:rsidRDefault="008A4B34">
      <w:pPr>
        <w:pStyle w:val="BodyText"/>
        <w:spacing w:before="10"/>
        <w:rPr>
          <w:sz w:val="6"/>
          <w:szCs w:val="6"/>
        </w:rPr>
      </w:pPr>
    </w:p>
    <w:p w14:paraId="5897283B" w14:textId="77777777" w:rsidR="008A4B34" w:rsidRDefault="00931A60">
      <w:pPr>
        <w:pStyle w:val="ListParagraph"/>
        <w:numPr>
          <w:ilvl w:val="1"/>
          <w:numId w:val="4"/>
        </w:numPr>
        <w:tabs>
          <w:tab w:val="left" w:pos="830"/>
        </w:tabs>
        <w:ind w:right="117"/>
        <w:jc w:val="both"/>
        <w:rPr>
          <w:sz w:val="20"/>
        </w:rPr>
      </w:pPr>
      <w:r>
        <w:rPr>
          <w:sz w:val="20"/>
        </w:rPr>
        <w:t>проучване на опции, които могат да сведат до минимум настоящите или бъдещите нужди от финансиране, като същевременно се насочват към компромиси и се използват синергии между целите на политиката и между краткосрочните и дългосрочните предизвикателства;</w:t>
      </w:r>
    </w:p>
    <w:p w14:paraId="5897283C" w14:textId="77777777" w:rsidR="008A4B34" w:rsidRDefault="00931A60">
      <w:pPr>
        <w:pStyle w:val="ListParagraph"/>
        <w:numPr>
          <w:ilvl w:val="1"/>
          <w:numId w:val="4"/>
        </w:numPr>
        <w:tabs>
          <w:tab w:val="left" w:pos="829"/>
          <w:tab w:val="left" w:pos="830"/>
        </w:tabs>
        <w:spacing w:before="119"/>
        <w:rPr>
          <w:sz w:val="20"/>
        </w:rPr>
      </w:pPr>
      <w:r>
        <w:rPr>
          <w:sz w:val="20"/>
        </w:rPr>
        <w:t>пре</w:t>
      </w:r>
      <w:r>
        <w:rPr>
          <w:sz w:val="20"/>
        </w:rPr>
        <w:t>глед на съществуващите активи, поддържането им, търсене на повишаване на ефективността;</w:t>
      </w:r>
    </w:p>
    <w:p w14:paraId="5897283D" w14:textId="77777777" w:rsidR="008A4B34" w:rsidRDefault="00931A60">
      <w:pPr>
        <w:pStyle w:val="ListParagraph"/>
        <w:numPr>
          <w:ilvl w:val="1"/>
          <w:numId w:val="4"/>
        </w:numPr>
        <w:tabs>
          <w:tab w:val="left" w:pos="830"/>
        </w:tabs>
        <w:spacing w:before="120"/>
        <w:ind w:right="125"/>
        <w:jc w:val="both"/>
        <w:rPr>
          <w:sz w:val="20"/>
        </w:rPr>
      </w:pPr>
      <w:r>
        <w:rPr>
          <w:sz w:val="20"/>
        </w:rPr>
        <w:t xml:space="preserve">разработване на стратегически финансови планове, които съпоставят финансовите ресурси с целите на политиката и гарантират достъпност за уязвимите слоеве от обществото, </w:t>
      </w:r>
      <w:r>
        <w:rPr>
          <w:sz w:val="20"/>
        </w:rPr>
        <w:t>включително чрез целеви мерки ad hoc; и</w:t>
      </w:r>
    </w:p>
    <w:p w14:paraId="5897283E" w14:textId="77777777" w:rsidR="008A4B34" w:rsidRDefault="00931A60">
      <w:pPr>
        <w:pStyle w:val="ListParagraph"/>
        <w:numPr>
          <w:ilvl w:val="1"/>
          <w:numId w:val="4"/>
        </w:numPr>
        <w:tabs>
          <w:tab w:val="left" w:pos="830"/>
        </w:tabs>
        <w:spacing w:before="122"/>
        <w:rPr>
          <w:sz w:val="20"/>
        </w:rPr>
      </w:pPr>
      <w:r>
        <w:rPr>
          <w:sz w:val="20"/>
        </w:rPr>
        <w:t>създаване на независим преглед на ефективността и рентабилността на инвестициите.</w:t>
      </w:r>
    </w:p>
    <w:p w14:paraId="5897283F" w14:textId="77777777" w:rsidR="008A4B34" w:rsidRPr="005A333E" w:rsidRDefault="008A4B34">
      <w:pPr>
        <w:pStyle w:val="BodyText"/>
        <w:spacing w:before="8"/>
        <w:rPr>
          <w:sz w:val="6"/>
          <w:szCs w:val="6"/>
        </w:rPr>
      </w:pPr>
    </w:p>
    <w:p w14:paraId="58972840" w14:textId="77777777" w:rsidR="008A4B34" w:rsidRDefault="00931A60">
      <w:pPr>
        <w:pStyle w:val="ListParagraph"/>
        <w:numPr>
          <w:ilvl w:val="0"/>
          <w:numId w:val="4"/>
        </w:numPr>
        <w:tabs>
          <w:tab w:val="left" w:pos="837"/>
        </w:tabs>
        <w:spacing w:line="276" w:lineRule="auto"/>
        <w:ind w:right="120" w:firstLine="0"/>
        <w:jc w:val="both"/>
        <w:rPr>
          <w:sz w:val="20"/>
        </w:rPr>
      </w:pPr>
      <w:r>
        <w:rPr>
          <w:sz w:val="20"/>
        </w:rPr>
        <w:t xml:space="preserve">Да помислят за диверсификация на потоците от приходи и привличане на нови източници на капитал, където е необходимо и в съответствие </w:t>
      </w:r>
      <w:r>
        <w:rPr>
          <w:sz w:val="20"/>
        </w:rPr>
        <w:t>с целите на политиката. Първата стъпка може да бъде комбинирането на приходите от тарифи за вода, прехвърляния от публичните бюджети и от международната общност (т.е. 3T), за да се възстановят разходите за инвестиции, експлоатация и поддръжка на водната ин</w:t>
      </w:r>
      <w:r>
        <w:rPr>
          <w:sz w:val="20"/>
        </w:rPr>
        <w:t>фраструктура, доколкото е възможно и където е ефективно.</w:t>
      </w:r>
    </w:p>
    <w:p w14:paraId="58972841" w14:textId="77777777" w:rsidR="008A4B34" w:rsidRPr="005A333E" w:rsidRDefault="008A4B34">
      <w:pPr>
        <w:pStyle w:val="BodyText"/>
        <w:spacing w:before="8"/>
        <w:rPr>
          <w:sz w:val="6"/>
          <w:szCs w:val="6"/>
        </w:rPr>
      </w:pPr>
    </w:p>
    <w:p w14:paraId="58972842" w14:textId="77777777" w:rsidR="008A4B34" w:rsidRDefault="00931A60">
      <w:pPr>
        <w:pStyle w:val="ListParagraph"/>
        <w:numPr>
          <w:ilvl w:val="0"/>
          <w:numId w:val="10"/>
        </w:numPr>
        <w:tabs>
          <w:tab w:val="left" w:pos="837"/>
        </w:tabs>
        <w:spacing w:line="276" w:lineRule="auto"/>
        <w:ind w:right="116" w:firstLine="0"/>
        <w:jc w:val="both"/>
        <w:rPr>
          <w:sz w:val="20"/>
        </w:rPr>
      </w:pPr>
      <w:r>
        <w:rPr>
          <w:b/>
          <w:sz w:val="20"/>
        </w:rPr>
        <w:t xml:space="preserve">ПРЕПОРЪЧВА </w:t>
      </w:r>
      <w:r>
        <w:rPr>
          <w:sz w:val="20"/>
        </w:rPr>
        <w:t>на присъединилите се страни да обмислят създаването на инструменти за ценообразуване, където е уместно и приложимо, в комбинация с други инструменти (напр. регулаторни, доброволни или дру</w:t>
      </w:r>
      <w:r>
        <w:rPr>
          <w:sz w:val="20"/>
        </w:rPr>
        <w:t>ги икономически инструменти), за управление на водните ресурси (по-специално опазване на водата), постепенно премахване на отрицателните външни ефекти (напр. прекомерно използване, замърсяване) и подобряване на финансовата устойчивост на водните инфраструк</w:t>
      </w:r>
      <w:r>
        <w:rPr>
          <w:sz w:val="20"/>
        </w:rPr>
        <w:t>тури и водните услуги. Икономическите инструменти трябва да отразяват социалните и икономически условия на всяка страна. Присъединилите се страни, които обмислят инструменти за ценообразуване, биха имали полза от:</w:t>
      </w:r>
    </w:p>
    <w:p w14:paraId="58972843" w14:textId="77777777" w:rsidR="008A4B34" w:rsidRPr="005A333E" w:rsidRDefault="008A4B34">
      <w:pPr>
        <w:pStyle w:val="BodyText"/>
        <w:spacing w:before="1"/>
        <w:rPr>
          <w:sz w:val="6"/>
          <w:szCs w:val="6"/>
        </w:rPr>
      </w:pPr>
    </w:p>
    <w:p w14:paraId="58972844" w14:textId="77777777" w:rsidR="008A4B34" w:rsidRDefault="00931A60">
      <w:pPr>
        <w:pStyle w:val="ListParagraph"/>
        <w:numPr>
          <w:ilvl w:val="0"/>
          <w:numId w:val="3"/>
        </w:numPr>
        <w:tabs>
          <w:tab w:val="left" w:pos="837"/>
        </w:tabs>
        <w:ind w:right="127" w:firstLine="0"/>
        <w:jc w:val="both"/>
        <w:rPr>
          <w:sz w:val="20"/>
        </w:rPr>
      </w:pPr>
      <w:r>
        <w:rPr>
          <w:sz w:val="20"/>
        </w:rPr>
        <w:t>Определяне на такси за черпене на повърхн</w:t>
      </w:r>
      <w:r>
        <w:rPr>
          <w:sz w:val="20"/>
        </w:rPr>
        <w:t>остни и подземни води, които отразяват недостига на вода (т.е. разходи за околната среда и ресурси) и които покриват административните разходи за управление на системата.</w:t>
      </w:r>
    </w:p>
    <w:p w14:paraId="58972845" w14:textId="77777777" w:rsidR="008A4B34" w:rsidRPr="005A333E" w:rsidRDefault="008A4B34">
      <w:pPr>
        <w:pStyle w:val="BodyText"/>
        <w:spacing w:before="10"/>
        <w:rPr>
          <w:sz w:val="6"/>
          <w:szCs w:val="6"/>
        </w:rPr>
      </w:pPr>
    </w:p>
    <w:p w14:paraId="58972846" w14:textId="77777777" w:rsidR="008A4B34" w:rsidRDefault="00931A60">
      <w:pPr>
        <w:pStyle w:val="ListParagraph"/>
        <w:numPr>
          <w:ilvl w:val="0"/>
          <w:numId w:val="3"/>
        </w:numPr>
        <w:tabs>
          <w:tab w:val="left" w:pos="837"/>
        </w:tabs>
        <w:spacing w:before="1"/>
        <w:ind w:right="117" w:firstLine="0"/>
        <w:jc w:val="both"/>
        <w:rPr>
          <w:sz w:val="20"/>
        </w:rPr>
      </w:pPr>
      <w:r>
        <w:rPr>
          <w:sz w:val="20"/>
        </w:rPr>
        <w:t>Определяне на такси за замърсяване на водата за използване и замърсяване на повърхностни и подземни води или такси за заустване на отпадъчни води на достатъчно ниво, за да има значителен стимулиращ ефект за предотвратяване и контрол на замърсяването.</w:t>
      </w:r>
    </w:p>
    <w:p w14:paraId="58972847" w14:textId="77777777" w:rsidR="008A4B34" w:rsidRPr="005A333E" w:rsidRDefault="008A4B34">
      <w:pPr>
        <w:pStyle w:val="BodyText"/>
        <w:spacing w:before="8"/>
        <w:rPr>
          <w:sz w:val="6"/>
          <w:szCs w:val="6"/>
        </w:rPr>
      </w:pPr>
    </w:p>
    <w:p w14:paraId="58972848" w14:textId="77777777" w:rsidR="008A4B34" w:rsidRDefault="00931A60">
      <w:pPr>
        <w:pStyle w:val="ListParagraph"/>
        <w:numPr>
          <w:ilvl w:val="0"/>
          <w:numId w:val="3"/>
        </w:numPr>
        <w:tabs>
          <w:tab w:val="left" w:pos="837"/>
        </w:tabs>
        <w:ind w:right="116" w:firstLine="0"/>
        <w:jc w:val="both"/>
        <w:rPr>
          <w:sz w:val="20"/>
        </w:rPr>
      </w:pPr>
      <w:r>
        <w:rPr>
          <w:sz w:val="20"/>
        </w:rPr>
        <w:t>Опре</w:t>
      </w:r>
      <w:r>
        <w:rPr>
          <w:sz w:val="20"/>
        </w:rPr>
        <w:t>деляне на тарифи или такси за водни услуги и всички други употреби, които покриват разходите за експлоатация, поддръжка и обновяване на инфраструктурата и прогресивна част от капиталовите разходи, където е възможно.</w:t>
      </w:r>
    </w:p>
    <w:p w14:paraId="58972849" w14:textId="77777777" w:rsidR="008A4B34" w:rsidRDefault="008A4B34">
      <w:pPr>
        <w:jc w:val="both"/>
        <w:rPr>
          <w:sz w:val="20"/>
        </w:rPr>
        <w:sectPr w:rsidR="008A4B34">
          <w:headerReference w:type="even" r:id="rId24"/>
          <w:headerReference w:type="default" r:id="rId25"/>
          <w:pgSz w:w="11910" w:h="16840"/>
          <w:pgMar w:top="1320" w:right="1300" w:bottom="280" w:left="1300" w:header="849" w:footer="0" w:gutter="0"/>
          <w:cols w:space="720"/>
        </w:sectPr>
      </w:pPr>
    </w:p>
    <w:p w14:paraId="5897284A" w14:textId="77777777" w:rsidR="008A4B34" w:rsidRDefault="00931A60">
      <w:pPr>
        <w:pStyle w:val="ListParagraph"/>
        <w:numPr>
          <w:ilvl w:val="0"/>
          <w:numId w:val="3"/>
        </w:numPr>
        <w:tabs>
          <w:tab w:val="left" w:pos="837"/>
        </w:tabs>
        <w:spacing w:before="90"/>
        <w:ind w:right="121" w:firstLine="0"/>
        <w:jc w:val="both"/>
        <w:rPr>
          <w:sz w:val="20"/>
        </w:rPr>
      </w:pPr>
      <w:r>
        <w:rPr>
          <w:sz w:val="20"/>
        </w:rPr>
        <w:lastRenderedPageBreak/>
        <w:t>Отчитане на последиците от преразпределението и приоритетното използване на водата, въз основа на проучвания за достъпност, справедливост за уязвимите групи и оценка на възде</w:t>
      </w:r>
      <w:r>
        <w:rPr>
          <w:sz w:val="20"/>
        </w:rPr>
        <w:t>йствието върху конкурентоспособността, според случая, като се вземе предвид правото на безопасна питейна вода и канализация.</w:t>
      </w:r>
    </w:p>
    <w:p w14:paraId="5897284B" w14:textId="77777777" w:rsidR="008A4B34" w:rsidRDefault="008A4B34">
      <w:pPr>
        <w:pStyle w:val="BodyText"/>
        <w:rPr>
          <w:sz w:val="21"/>
        </w:rPr>
      </w:pPr>
    </w:p>
    <w:p w14:paraId="5897284C" w14:textId="77777777" w:rsidR="008A4B34" w:rsidRDefault="00931A60">
      <w:pPr>
        <w:pStyle w:val="ListParagraph"/>
        <w:numPr>
          <w:ilvl w:val="0"/>
          <w:numId w:val="3"/>
        </w:numPr>
        <w:tabs>
          <w:tab w:val="left" w:pos="837"/>
        </w:tabs>
        <w:ind w:right="122" w:firstLine="0"/>
        <w:jc w:val="both"/>
        <w:rPr>
          <w:sz w:val="20"/>
        </w:rPr>
      </w:pPr>
      <w:r>
        <w:rPr>
          <w:sz w:val="20"/>
        </w:rPr>
        <w:t>Поетапно премахване на мерките на политиката, изкривяващи цените, и общите субсидии, които засягат наличността, качеството и търсенето на вода, доколкото е възможно, като се вземат предвид по-широки обществени политики и приоритети.</w:t>
      </w:r>
    </w:p>
    <w:p w14:paraId="5897284D" w14:textId="77777777" w:rsidR="008A4B34" w:rsidRDefault="008A4B34">
      <w:pPr>
        <w:pStyle w:val="BodyText"/>
        <w:spacing w:before="9"/>
      </w:pPr>
    </w:p>
    <w:p w14:paraId="5897284E" w14:textId="77777777" w:rsidR="008A4B34" w:rsidRDefault="00931A60">
      <w:pPr>
        <w:pStyle w:val="ListParagraph"/>
        <w:numPr>
          <w:ilvl w:val="0"/>
          <w:numId w:val="3"/>
        </w:numPr>
        <w:tabs>
          <w:tab w:val="left" w:pos="837"/>
        </w:tabs>
        <w:ind w:right="118" w:firstLine="0"/>
        <w:jc w:val="both"/>
        <w:rPr>
          <w:sz w:val="20"/>
        </w:rPr>
      </w:pPr>
      <w:r>
        <w:rPr>
          <w:sz w:val="20"/>
        </w:rPr>
        <w:t xml:space="preserve">Отчитане на разходите </w:t>
      </w:r>
      <w:r>
        <w:rPr>
          <w:sz w:val="20"/>
        </w:rPr>
        <w:t>за прехвърляне, включително административните разходи, при проектирането на инструменти за ценообразуване и схеми за управление на приходите.</w:t>
      </w:r>
    </w:p>
    <w:p w14:paraId="5897284F" w14:textId="77777777" w:rsidR="008A4B34" w:rsidRDefault="008A4B34">
      <w:pPr>
        <w:pStyle w:val="BodyText"/>
        <w:spacing w:before="9"/>
      </w:pPr>
    </w:p>
    <w:p w14:paraId="58972850" w14:textId="77777777" w:rsidR="008A4B34" w:rsidRDefault="00931A60">
      <w:pPr>
        <w:pStyle w:val="ListParagraph"/>
        <w:numPr>
          <w:ilvl w:val="0"/>
          <w:numId w:val="10"/>
        </w:numPr>
        <w:tabs>
          <w:tab w:val="left" w:pos="892"/>
        </w:tabs>
        <w:ind w:left="891" w:hanging="776"/>
        <w:jc w:val="both"/>
        <w:rPr>
          <w:sz w:val="20"/>
        </w:rPr>
      </w:pPr>
      <w:r>
        <w:rPr>
          <w:b/>
          <w:sz w:val="20"/>
        </w:rPr>
        <w:t>ПРИКАНВА</w:t>
      </w:r>
      <w:r>
        <w:rPr>
          <w:sz w:val="20"/>
        </w:rPr>
        <w:t xml:space="preserve"> Генералния секретар да разпространи препоръката.</w:t>
      </w:r>
    </w:p>
    <w:p w14:paraId="58972851" w14:textId="77777777" w:rsidR="008A4B34" w:rsidRDefault="008A4B34">
      <w:pPr>
        <w:pStyle w:val="BodyText"/>
        <w:spacing w:before="9"/>
        <w:rPr>
          <w:sz w:val="23"/>
        </w:rPr>
      </w:pPr>
    </w:p>
    <w:p w14:paraId="58972852" w14:textId="77777777" w:rsidR="008A4B34" w:rsidRDefault="00931A60">
      <w:pPr>
        <w:pStyle w:val="ListParagraph"/>
        <w:numPr>
          <w:ilvl w:val="0"/>
          <w:numId w:val="10"/>
        </w:numPr>
        <w:tabs>
          <w:tab w:val="left" w:pos="837"/>
        </w:tabs>
        <w:ind w:left="836" w:hanging="721"/>
        <w:jc w:val="both"/>
        <w:rPr>
          <w:sz w:val="20"/>
        </w:rPr>
      </w:pPr>
      <w:r>
        <w:rPr>
          <w:b/>
          <w:sz w:val="20"/>
        </w:rPr>
        <w:t>ПРИКАНВА</w:t>
      </w:r>
      <w:r>
        <w:rPr>
          <w:sz w:val="20"/>
        </w:rPr>
        <w:t xml:space="preserve"> присъединилите се страни да разпространят пре</w:t>
      </w:r>
      <w:r>
        <w:rPr>
          <w:sz w:val="20"/>
        </w:rPr>
        <w:t>поръката на всички нива на управление.</w:t>
      </w:r>
    </w:p>
    <w:p w14:paraId="58972853" w14:textId="77777777" w:rsidR="008A4B34" w:rsidRDefault="008A4B34">
      <w:pPr>
        <w:pStyle w:val="BodyText"/>
        <w:spacing w:before="10"/>
        <w:rPr>
          <w:sz w:val="23"/>
        </w:rPr>
      </w:pPr>
    </w:p>
    <w:p w14:paraId="58972854" w14:textId="77777777" w:rsidR="008A4B34" w:rsidRDefault="00931A60">
      <w:pPr>
        <w:pStyle w:val="ListParagraph"/>
        <w:numPr>
          <w:ilvl w:val="0"/>
          <w:numId w:val="10"/>
        </w:numPr>
        <w:tabs>
          <w:tab w:val="left" w:pos="837"/>
        </w:tabs>
        <w:ind w:left="836" w:hanging="721"/>
        <w:jc w:val="both"/>
        <w:rPr>
          <w:sz w:val="20"/>
        </w:rPr>
      </w:pPr>
      <w:r>
        <w:rPr>
          <w:b/>
          <w:sz w:val="20"/>
        </w:rPr>
        <w:t>ПРИКАНВА</w:t>
      </w:r>
      <w:r>
        <w:rPr>
          <w:sz w:val="20"/>
        </w:rPr>
        <w:t xml:space="preserve"> неприсъединилите се страни да вземат надлежно предвид и да се присъединят към препоръката.</w:t>
      </w:r>
    </w:p>
    <w:p w14:paraId="58972855" w14:textId="77777777" w:rsidR="008A4B34" w:rsidRDefault="008A4B34">
      <w:pPr>
        <w:pStyle w:val="BodyText"/>
        <w:spacing w:before="1"/>
        <w:rPr>
          <w:sz w:val="24"/>
        </w:rPr>
      </w:pPr>
    </w:p>
    <w:p w14:paraId="58972856" w14:textId="77777777" w:rsidR="008A4B34" w:rsidRDefault="00931A60">
      <w:pPr>
        <w:pStyle w:val="ListParagraph"/>
        <w:numPr>
          <w:ilvl w:val="0"/>
          <w:numId w:val="10"/>
        </w:numPr>
        <w:tabs>
          <w:tab w:val="left" w:pos="837"/>
        </w:tabs>
        <w:spacing w:line="278" w:lineRule="auto"/>
        <w:ind w:right="123" w:firstLine="0"/>
        <w:jc w:val="both"/>
        <w:rPr>
          <w:sz w:val="20"/>
        </w:rPr>
      </w:pPr>
      <w:r>
        <w:rPr>
          <w:b/>
          <w:sz w:val="20"/>
        </w:rPr>
        <w:t>НАСЪРЧАВА</w:t>
      </w:r>
      <w:r>
        <w:rPr>
          <w:sz w:val="20"/>
        </w:rPr>
        <w:t xml:space="preserve"> съответните заинтересовани страни да допринесат за прилагането и разпространението на препоръката, според</w:t>
      </w:r>
      <w:r>
        <w:rPr>
          <w:sz w:val="20"/>
        </w:rPr>
        <w:t xml:space="preserve"> случая.</w:t>
      </w:r>
    </w:p>
    <w:p w14:paraId="58972857" w14:textId="77777777" w:rsidR="008A4B34" w:rsidRDefault="008A4B34">
      <w:pPr>
        <w:pStyle w:val="BodyText"/>
        <w:spacing w:before="4"/>
      </w:pPr>
    </w:p>
    <w:p w14:paraId="58972858" w14:textId="77777777" w:rsidR="008A4B34" w:rsidRDefault="00931A60">
      <w:pPr>
        <w:pStyle w:val="ListParagraph"/>
        <w:numPr>
          <w:ilvl w:val="0"/>
          <w:numId w:val="10"/>
        </w:numPr>
        <w:tabs>
          <w:tab w:val="left" w:pos="837"/>
        </w:tabs>
        <w:spacing w:line="276" w:lineRule="auto"/>
        <w:ind w:right="114" w:firstLine="0"/>
        <w:jc w:val="both"/>
        <w:rPr>
          <w:sz w:val="20"/>
        </w:rPr>
      </w:pPr>
      <w:r>
        <w:rPr>
          <w:b/>
          <w:sz w:val="20"/>
        </w:rPr>
        <w:t>УКАЗВА</w:t>
      </w:r>
      <w:r>
        <w:rPr>
          <w:sz w:val="20"/>
        </w:rPr>
        <w:t xml:space="preserve"> на Комитета по екологична политика, в сътрудничество с други релевантни комисии, по-специално Комисията по земеделие, Комисията по политика за регионално развитие, Комисията по регулаторна политика и Комисията за подпомагане на развитието:</w:t>
      </w:r>
    </w:p>
    <w:p w14:paraId="58972859" w14:textId="77777777" w:rsidR="008A4B34" w:rsidRDefault="008A4B34">
      <w:pPr>
        <w:pStyle w:val="BodyText"/>
        <w:rPr>
          <w:sz w:val="21"/>
        </w:rPr>
      </w:pPr>
    </w:p>
    <w:p w14:paraId="5897285A" w14:textId="77777777" w:rsidR="008A4B34" w:rsidRDefault="00931A60">
      <w:pPr>
        <w:pStyle w:val="ListParagraph"/>
        <w:numPr>
          <w:ilvl w:val="0"/>
          <w:numId w:val="2"/>
        </w:numPr>
        <w:tabs>
          <w:tab w:val="left" w:pos="837"/>
        </w:tabs>
        <w:ind w:right="122" w:firstLine="0"/>
        <w:jc w:val="both"/>
        <w:rPr>
          <w:sz w:val="20"/>
        </w:rPr>
      </w:pPr>
      <w:r>
        <w:rPr>
          <w:sz w:val="20"/>
        </w:rPr>
        <w:t>да разработят съвместно инструментариум за прилагане, който помага на присъединилите се страни да прилагат препоръката;</w:t>
      </w:r>
    </w:p>
    <w:p w14:paraId="5897285B" w14:textId="77777777" w:rsidR="008A4B34" w:rsidRDefault="008A4B34">
      <w:pPr>
        <w:pStyle w:val="BodyText"/>
        <w:spacing w:before="11"/>
      </w:pPr>
    </w:p>
    <w:p w14:paraId="5897285C" w14:textId="77777777" w:rsidR="008A4B34" w:rsidRDefault="00931A60">
      <w:pPr>
        <w:pStyle w:val="ListParagraph"/>
        <w:numPr>
          <w:ilvl w:val="0"/>
          <w:numId w:val="2"/>
        </w:numPr>
        <w:tabs>
          <w:tab w:val="left" w:pos="837"/>
        </w:tabs>
        <w:ind w:left="836" w:hanging="721"/>
        <w:jc w:val="both"/>
        <w:rPr>
          <w:sz w:val="20"/>
        </w:rPr>
      </w:pPr>
      <w:r>
        <w:rPr>
          <w:sz w:val="20"/>
        </w:rPr>
        <w:t>да създадат механизъм за наблюдение на изпълнението на препоръката; и</w:t>
      </w:r>
    </w:p>
    <w:p w14:paraId="5897285D" w14:textId="77777777" w:rsidR="008A4B34" w:rsidRDefault="008A4B34">
      <w:pPr>
        <w:pStyle w:val="BodyText"/>
        <w:spacing w:before="10"/>
      </w:pPr>
    </w:p>
    <w:p w14:paraId="5897285E" w14:textId="77777777" w:rsidR="008A4B34" w:rsidRDefault="00931A60">
      <w:pPr>
        <w:pStyle w:val="ListParagraph"/>
        <w:numPr>
          <w:ilvl w:val="0"/>
          <w:numId w:val="2"/>
        </w:numPr>
        <w:tabs>
          <w:tab w:val="left" w:pos="837"/>
        </w:tabs>
        <w:ind w:left="836" w:hanging="721"/>
        <w:jc w:val="both"/>
        <w:rPr>
          <w:sz w:val="20"/>
        </w:rPr>
      </w:pPr>
      <w:r>
        <w:rPr>
          <w:sz w:val="20"/>
        </w:rPr>
        <w:t>да докладват на Съвета не по-късно от три години след приемането на препоръката и редовно след това.</w:t>
      </w:r>
    </w:p>
    <w:p w14:paraId="5897285F" w14:textId="77777777" w:rsidR="008A4B34" w:rsidRDefault="008A4B34">
      <w:pPr>
        <w:jc w:val="both"/>
        <w:rPr>
          <w:sz w:val="20"/>
        </w:rPr>
        <w:sectPr w:rsidR="008A4B34">
          <w:pgSz w:w="11910" w:h="16840"/>
          <w:pgMar w:top="1320" w:right="1300" w:bottom="280" w:left="1300" w:header="849" w:footer="0" w:gutter="0"/>
          <w:cols w:space="720"/>
        </w:sectPr>
      </w:pPr>
    </w:p>
    <w:p w14:paraId="58972860" w14:textId="77777777" w:rsidR="008A4B34" w:rsidRDefault="00931A60">
      <w:pPr>
        <w:pStyle w:val="Heading1"/>
        <w:spacing w:before="73"/>
      </w:pPr>
      <w:bookmarkStart w:id="0" w:name="About_the_OECD"/>
      <w:bookmarkEnd w:id="0"/>
      <w:r>
        <w:rPr>
          <w:color w:val="1F4679"/>
        </w:rPr>
        <w:lastRenderedPageBreak/>
        <w:t>Относно ОИСР</w:t>
      </w:r>
    </w:p>
    <w:p w14:paraId="58972861" w14:textId="77777777" w:rsidR="008A4B34" w:rsidRDefault="008A4B34">
      <w:pPr>
        <w:pStyle w:val="BodyText"/>
        <w:spacing w:before="5"/>
        <w:rPr>
          <w:b/>
          <w:sz w:val="21"/>
        </w:rPr>
      </w:pPr>
    </w:p>
    <w:p w14:paraId="58972862" w14:textId="77777777" w:rsidR="008A4B34" w:rsidRDefault="00931A60">
      <w:pPr>
        <w:pStyle w:val="BodyText"/>
        <w:ind w:left="116" w:right="156"/>
        <w:jc w:val="both"/>
      </w:pPr>
      <w:r>
        <w:t>ОИСР е уникален форум, където правителствата работят</w:t>
      </w:r>
      <w:r>
        <w:t xml:space="preserve"> заедно за справяне с икономическите, социалните и екологичните предизвикателства на глобализацията. ОИСР също е в челните редици на усилията за разбиране и подпомагане на правителствата да отговорят на новите развития и опасения, като корпоративно управле</w:t>
      </w:r>
      <w:r>
        <w:t xml:space="preserve">ние, информационна икономика и предизвикателствата на застаряващото население. Организацията осигурява среда, в която правителствата могат да сравняват политическия опит, да търсят отговори на общи проблеми, да идентифицират добри практики и да работят за </w:t>
      </w:r>
      <w:r>
        <w:t>координиране на вътрешни и международни политики.</w:t>
      </w:r>
    </w:p>
    <w:p w14:paraId="58972863" w14:textId="77777777" w:rsidR="008A4B34" w:rsidRDefault="008A4B34">
      <w:pPr>
        <w:pStyle w:val="BodyText"/>
        <w:spacing w:before="10"/>
      </w:pPr>
    </w:p>
    <w:p w14:paraId="58972864" w14:textId="77777777" w:rsidR="008A4B34" w:rsidRDefault="00931A60">
      <w:pPr>
        <w:pStyle w:val="BodyText"/>
        <w:ind w:left="115" w:right="144" w:hanging="3"/>
        <w:jc w:val="both"/>
      </w:pPr>
      <w:r>
        <w:t>Страните членки на ОИСР са: Австралия, Австрия, Белгия, Канада, Чили, Колумбия, Коста Рика, Чехия, Дания, Естония, Финландия, Франция, Германия, Гърция, Унгария, Исландия, Ирландия, Израел, Италия, Япония,</w:t>
      </w:r>
      <w:r>
        <w:t xml:space="preserve"> Корея, Латвия, Литва, Люксембург , Мексико, Холандия, Нова Зеландия, Норвегия, Полша, Португалия, Република Словакия, Словения, Испания, Швеция, Швейцария, Турция, Обединеното кралство и Съединените щати. Европейският съюз участва в работата на ОИСР.</w:t>
      </w:r>
    </w:p>
    <w:p w14:paraId="58972865" w14:textId="77777777" w:rsidR="008A4B34" w:rsidRDefault="008A4B34">
      <w:pPr>
        <w:pStyle w:val="BodyText"/>
        <w:rPr>
          <w:sz w:val="22"/>
        </w:rPr>
      </w:pPr>
    </w:p>
    <w:p w14:paraId="58972866" w14:textId="77777777" w:rsidR="008A4B34" w:rsidRDefault="00931A60">
      <w:pPr>
        <w:pStyle w:val="Heading1"/>
        <w:spacing w:before="141"/>
      </w:pPr>
      <w:bookmarkStart w:id="1" w:name="OECD_Legal_Instruments"/>
      <w:bookmarkEnd w:id="1"/>
      <w:r>
        <w:rPr>
          <w:color w:val="1F4679"/>
        </w:rPr>
        <w:t>Правни инструменти на ОИСР</w:t>
      </w:r>
    </w:p>
    <w:p w14:paraId="58972867" w14:textId="77777777" w:rsidR="008A4B34" w:rsidRDefault="008A4B34">
      <w:pPr>
        <w:pStyle w:val="BodyText"/>
        <w:spacing w:before="7"/>
        <w:rPr>
          <w:b/>
          <w:sz w:val="21"/>
        </w:rPr>
      </w:pPr>
    </w:p>
    <w:p w14:paraId="58972868" w14:textId="77777777" w:rsidR="008A4B34" w:rsidRDefault="00931A60">
      <w:pPr>
        <w:pStyle w:val="BodyText"/>
        <w:ind w:left="116" w:right="150"/>
        <w:jc w:val="both"/>
      </w:pPr>
      <w:r>
        <w:t xml:space="preserve">От създаването на ОИСР през 1961 г. в рамките на ОИСР са разработени около 460 материалноправни инструмента. Те включват актове на ОИСР (т.е. решения и препоръки, приети от Съвета на ОИСР в съответствие с Конвенцията на ОИСР) и </w:t>
      </w:r>
      <w:r>
        <w:t>други правни инструменти, разработени в рамките на ОИСР (напр. декларации, международни споразумения).</w:t>
      </w:r>
    </w:p>
    <w:p w14:paraId="58972869" w14:textId="77777777" w:rsidR="008A4B34" w:rsidRDefault="008A4B34">
      <w:pPr>
        <w:pStyle w:val="BodyText"/>
        <w:spacing w:before="10"/>
      </w:pPr>
    </w:p>
    <w:p w14:paraId="5897286A" w14:textId="77777777" w:rsidR="008A4B34" w:rsidRDefault="00931A60">
      <w:pPr>
        <w:pStyle w:val="BodyText"/>
        <w:ind w:left="113" w:right="150"/>
        <w:jc w:val="both"/>
      </w:pPr>
      <w:r>
        <w:t>Всички съществени правни инструменти на ОИСР, независимо дали са в сила или са отменени, са изброени в онлайн сборника на правните инструменти на ОИСР. Те са представени в пет категории:</w:t>
      </w:r>
    </w:p>
    <w:p w14:paraId="5897286B" w14:textId="77777777" w:rsidR="008A4B34" w:rsidRDefault="008A4B34">
      <w:pPr>
        <w:pStyle w:val="BodyText"/>
        <w:spacing w:before="8"/>
        <w:rPr>
          <w:sz w:val="18"/>
        </w:rPr>
      </w:pPr>
    </w:p>
    <w:p w14:paraId="5897286C" w14:textId="77777777" w:rsidR="008A4B34" w:rsidRDefault="00931A60">
      <w:pPr>
        <w:pStyle w:val="ListParagraph"/>
        <w:numPr>
          <w:ilvl w:val="0"/>
          <w:numId w:val="1"/>
        </w:numPr>
        <w:tabs>
          <w:tab w:val="left" w:pos="852"/>
          <w:tab w:val="left" w:pos="853"/>
        </w:tabs>
        <w:spacing w:line="242" w:lineRule="auto"/>
        <w:ind w:right="110"/>
        <w:rPr>
          <w:sz w:val="20"/>
        </w:rPr>
      </w:pPr>
      <w:r>
        <w:rPr>
          <w:b/>
          <w:sz w:val="20"/>
        </w:rPr>
        <w:t>Решенията</w:t>
      </w:r>
      <w:r>
        <w:rPr>
          <w:sz w:val="20"/>
        </w:rPr>
        <w:t xml:space="preserve"> се приемат от Съвета и са правно обвързващи за всички стра</w:t>
      </w:r>
      <w:r>
        <w:rPr>
          <w:sz w:val="20"/>
        </w:rPr>
        <w:t>ни-членки с изключение на тези, които се въздържат към момента на приемане. Те определят специфични права и задължения и могат да съдържат механизми за наблюдение.</w:t>
      </w:r>
    </w:p>
    <w:p w14:paraId="5897286D" w14:textId="77777777" w:rsidR="008A4B34" w:rsidRDefault="008A4B34">
      <w:pPr>
        <w:pStyle w:val="BodyText"/>
        <w:spacing w:before="7"/>
        <w:rPr>
          <w:sz w:val="17"/>
        </w:rPr>
      </w:pPr>
    </w:p>
    <w:p w14:paraId="5897286E" w14:textId="77777777" w:rsidR="008A4B34" w:rsidRDefault="00931A60">
      <w:pPr>
        <w:pStyle w:val="ListParagraph"/>
        <w:numPr>
          <w:ilvl w:val="0"/>
          <w:numId w:val="1"/>
        </w:numPr>
        <w:tabs>
          <w:tab w:val="left" w:pos="852"/>
          <w:tab w:val="left" w:pos="853"/>
        </w:tabs>
        <w:spacing w:line="242" w:lineRule="auto"/>
        <w:ind w:right="105"/>
        <w:rPr>
          <w:sz w:val="20"/>
        </w:rPr>
      </w:pPr>
      <w:r>
        <w:rPr>
          <w:b/>
          <w:sz w:val="20"/>
        </w:rPr>
        <w:t>Препоръките</w:t>
      </w:r>
      <w:r>
        <w:rPr>
          <w:sz w:val="20"/>
        </w:rPr>
        <w:t xml:space="preserve"> се приемат от Съвета и не са правно обвързващи. Те представляват политически ан</w:t>
      </w:r>
      <w:r>
        <w:rPr>
          <w:sz w:val="20"/>
        </w:rPr>
        <w:t>гажимент към принципите, които съдържат, и включват очакване, че присъединилите се страни ще направят всичко възможно, за да ги изпълнят.</w:t>
      </w:r>
    </w:p>
    <w:p w14:paraId="5897286F" w14:textId="77777777" w:rsidR="008A4B34" w:rsidRDefault="008A4B34">
      <w:pPr>
        <w:pStyle w:val="BodyText"/>
        <w:spacing w:before="7"/>
        <w:rPr>
          <w:sz w:val="17"/>
        </w:rPr>
      </w:pPr>
    </w:p>
    <w:p w14:paraId="58972870" w14:textId="77777777" w:rsidR="008A4B34" w:rsidRDefault="00931A60">
      <w:pPr>
        <w:pStyle w:val="ListParagraph"/>
        <w:numPr>
          <w:ilvl w:val="0"/>
          <w:numId w:val="1"/>
        </w:numPr>
        <w:tabs>
          <w:tab w:val="left" w:pos="852"/>
          <w:tab w:val="left" w:pos="853"/>
        </w:tabs>
        <w:spacing w:line="242" w:lineRule="auto"/>
        <w:ind w:right="103"/>
        <w:rPr>
          <w:sz w:val="20"/>
        </w:rPr>
      </w:pPr>
      <w:r>
        <w:rPr>
          <w:b/>
          <w:sz w:val="20"/>
        </w:rPr>
        <w:t>Документите за съществени резултати</w:t>
      </w:r>
      <w:r>
        <w:rPr>
          <w:sz w:val="20"/>
        </w:rPr>
        <w:t xml:space="preserve"> се приемат от отделните изброени присъединили се страни, а не от орган на ОИСР, к</w:t>
      </w:r>
      <w:r>
        <w:rPr>
          <w:sz w:val="20"/>
        </w:rPr>
        <w:t>ато резултат от среща на министерско, високо ниво или друго в рамките на Организацията. Обикновено те поставят общи принципи или дългосрочни цели и имат тържествен характер.</w:t>
      </w:r>
    </w:p>
    <w:p w14:paraId="58972871" w14:textId="77777777" w:rsidR="008A4B34" w:rsidRDefault="008A4B34">
      <w:pPr>
        <w:pStyle w:val="BodyText"/>
        <w:spacing w:before="10"/>
        <w:rPr>
          <w:sz w:val="17"/>
        </w:rPr>
      </w:pPr>
    </w:p>
    <w:p w14:paraId="58972872" w14:textId="77777777" w:rsidR="008A4B34" w:rsidRDefault="00931A60">
      <w:pPr>
        <w:pStyle w:val="ListParagraph"/>
        <w:numPr>
          <w:ilvl w:val="0"/>
          <w:numId w:val="1"/>
        </w:numPr>
        <w:tabs>
          <w:tab w:val="left" w:pos="852"/>
          <w:tab w:val="left" w:pos="853"/>
        </w:tabs>
        <w:ind w:right="114"/>
        <w:rPr>
          <w:sz w:val="20"/>
        </w:rPr>
      </w:pPr>
      <w:r>
        <w:rPr>
          <w:sz w:val="20"/>
        </w:rPr>
        <w:t xml:space="preserve">В рамките на Организацията се договарят и сключват </w:t>
      </w:r>
      <w:r>
        <w:rPr>
          <w:b/>
          <w:sz w:val="20"/>
        </w:rPr>
        <w:t>международни споразумения.</w:t>
      </w:r>
      <w:r>
        <w:rPr>
          <w:sz w:val="20"/>
        </w:rPr>
        <w:t xml:space="preserve"> Те </w:t>
      </w:r>
      <w:r>
        <w:rPr>
          <w:sz w:val="20"/>
        </w:rPr>
        <w:t>са правно обвързващи за страните.</w:t>
      </w:r>
    </w:p>
    <w:p w14:paraId="58972873" w14:textId="77777777" w:rsidR="008A4B34" w:rsidRDefault="008A4B34">
      <w:pPr>
        <w:pStyle w:val="BodyText"/>
        <w:spacing w:before="7"/>
        <w:rPr>
          <w:sz w:val="19"/>
        </w:rPr>
      </w:pPr>
    </w:p>
    <w:p w14:paraId="58972874" w14:textId="77777777" w:rsidR="008A4B34" w:rsidRDefault="00931A60">
      <w:pPr>
        <w:pStyle w:val="ListParagraph"/>
        <w:numPr>
          <w:ilvl w:val="0"/>
          <w:numId w:val="1"/>
        </w:numPr>
        <w:tabs>
          <w:tab w:val="left" w:pos="852"/>
          <w:tab w:val="left" w:pos="853"/>
        </w:tabs>
        <w:ind w:right="108" w:hanging="710"/>
        <w:rPr>
          <w:sz w:val="20"/>
        </w:rPr>
      </w:pPr>
      <w:r>
        <w:rPr>
          <w:b/>
          <w:sz w:val="20"/>
        </w:rPr>
        <w:t>Споразумение, разбирателство и други</w:t>
      </w:r>
      <w:r>
        <w:rPr>
          <w:sz w:val="20"/>
        </w:rPr>
        <w:t>: няколко други типа материалноправни инструменти са разработени в рамките на ОИСР с течение на времето, като споразумението за официално подкрепяни експортни кредити, международното сп</w:t>
      </w:r>
      <w:r>
        <w:rPr>
          <w:sz w:val="20"/>
        </w:rPr>
        <w:t>оразумение за принципите на морския транспорт и препоръките на Комитета за подпомагане на развитието (DAC).</w:t>
      </w:r>
    </w:p>
    <w:sectPr w:rsidR="008A4B34">
      <w:headerReference w:type="even" r:id="rId26"/>
      <w:pgSz w:w="11940" w:h="16860"/>
      <w:pgMar w:top="1300" w:right="1260" w:bottom="280" w:left="130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519B7" w14:textId="77777777" w:rsidR="00931A60" w:rsidRDefault="00931A60">
      <w:r>
        <w:separator/>
      </w:r>
    </w:p>
  </w:endnote>
  <w:endnote w:type="continuationSeparator" w:id="0">
    <w:p w14:paraId="2194ED4F" w14:textId="77777777" w:rsidR="00931A60" w:rsidRDefault="00931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1AE1E" w14:textId="77777777" w:rsidR="00931A60" w:rsidRDefault="00931A60">
      <w:r>
        <w:separator/>
      </w:r>
    </w:p>
  </w:footnote>
  <w:footnote w:type="continuationSeparator" w:id="0">
    <w:p w14:paraId="5997440C" w14:textId="77777777" w:rsidR="00931A60" w:rsidRDefault="00931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72881" w14:textId="77777777" w:rsidR="008A4B34" w:rsidRDefault="00931A60">
    <w:pPr>
      <w:pStyle w:val="BodyText"/>
      <w:spacing w:line="14" w:lineRule="auto"/>
    </w:pPr>
    <w:r>
      <w:pict w14:anchorId="58972888">
        <v:line id="_x0000_s1034" style="position:absolute;z-index:-16007168;mso-position-horizontal-relative:page;mso-position-vertical-relative:page" from="158pt,56.05pt" to="554.1pt,56.05pt" strokecolor="#2a2928" strokeweight=".63pt">
          <w10:wrap anchorx="page" anchory="page"/>
        </v:line>
      </w:pict>
    </w:r>
    <w:r>
      <w:pict w14:anchorId="58972889">
        <v:shapetype id="_x0000_t202" coordsize="21600,21600" o:spt="202" path="m,l,21600r21600,l21600,xe">
          <v:stroke joinstyle="miter"/>
          <v:path gradientshapeok="t" o:connecttype="rect"/>
        </v:shapetype>
        <v:shape id="_x0000_s1033" type="#_x0000_t202" style="position:absolute;margin-left:39.5pt;margin-top:41.45pt;width:124.15pt;height:16.05pt;z-index:-16006656;mso-position-horizontal-relative:page;mso-position-vertical-relative:page" filled="f" stroked="f">
          <v:textbox inset="0,0,0,0">
            <w:txbxContent>
              <w:p w14:paraId="58972897" w14:textId="43ECBA8A" w:rsidR="008A4B34" w:rsidRPr="00C45226" w:rsidRDefault="00C45226">
                <w:pPr>
                  <w:pStyle w:val="BodyText"/>
                  <w:tabs>
                    <w:tab w:val="left" w:pos="626"/>
                  </w:tabs>
                  <w:spacing w:before="18"/>
                  <w:ind w:left="60"/>
                  <w:rPr>
                    <w:lang/>
                  </w:rPr>
                </w:pPr>
                <w:r>
                  <w:rPr>
                    <w:color w:val="2B2A29"/>
                    <w:lang/>
                  </w:rPr>
                  <w:t>OECD</w:t>
                </w:r>
                <w:r w:rsidR="00313ACC">
                  <w:rPr>
                    <w:color w:val="2B2A29"/>
                    <w:lang/>
                  </w:rPr>
                  <w:t>/LEGAL/0434</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72882" w14:textId="77777777" w:rsidR="008A4B34" w:rsidRDefault="00931A60">
    <w:pPr>
      <w:pStyle w:val="BodyText"/>
      <w:spacing w:line="14" w:lineRule="auto"/>
    </w:pPr>
    <w:r>
      <w:pict w14:anchorId="5897288A">
        <v:line id="_x0000_s1036" style="position:absolute;z-index:-16008192;mso-position-horizontal-relative:page;mso-position-vertical-relative:page" from="42.5pt,56.05pt" to="438.6pt,56.05pt" strokecolor="#2a2928" strokeweight=".63pt">
          <w10:wrap anchorx="page" anchory="page"/>
        </v:line>
      </w:pict>
    </w:r>
    <w:r>
      <w:pict w14:anchorId="5897288B">
        <v:shapetype id="_x0000_t202" coordsize="21600,21600" o:spt="202" path="m,l,21600r21600,l21600,xe">
          <v:stroke joinstyle="miter"/>
          <v:path gradientshapeok="t" o:connecttype="rect"/>
        </v:shapetype>
        <v:shape id="_x0000_s1035" type="#_x0000_t202" style="position:absolute;margin-left:432.1pt;margin-top:41.45pt;width:126pt;height:16.05pt;z-index:-16007680;mso-position-horizontal-relative:page;mso-position-vertical-relative:page" filled="f" stroked="f">
          <v:textbox inset="0,0,0,0">
            <w:txbxContent>
              <w:p w14:paraId="58972896" w14:textId="32205C3A" w:rsidR="008A4B34" w:rsidRPr="00405840" w:rsidRDefault="00405840">
                <w:pPr>
                  <w:pStyle w:val="BodyText"/>
                  <w:tabs>
                    <w:tab w:val="left" w:pos="2308"/>
                  </w:tabs>
                  <w:spacing w:before="18"/>
                  <w:ind w:left="20"/>
                  <w:rPr>
                    <w:lang/>
                  </w:rPr>
                </w:pPr>
                <w:r>
                  <w:rPr>
                    <w:lang/>
                  </w:rPr>
                  <w:t>OECD/LEGAL/0434</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72883" w14:textId="77777777" w:rsidR="008A4B34" w:rsidRDefault="00931A60">
    <w:pPr>
      <w:pStyle w:val="BodyText"/>
      <w:spacing w:line="14" w:lineRule="auto"/>
    </w:pPr>
    <w:r>
      <w:pict w14:anchorId="5897288C">
        <v:line id="_x0000_s1032" style="position:absolute;z-index:-16006144;mso-position-horizontal-relative:page;mso-position-vertical-relative:page" from="158pt,56.05pt" to="554.1pt,56.05pt" strokecolor="#2a2928" strokeweight=".63pt">
          <w10:wrap anchorx="page" anchory="page"/>
        </v:line>
      </w:pict>
    </w:r>
    <w:r>
      <w:pict w14:anchorId="5897288D">
        <v:shapetype id="_x0000_t202" coordsize="21600,21600" o:spt="202" path="m,l,21600r21600,l21600,xe">
          <v:stroke joinstyle="miter"/>
          <v:path gradientshapeok="t" o:connecttype="rect"/>
        </v:shapetype>
        <v:shape id="_x0000_s1031" type="#_x0000_t202" style="position:absolute;margin-left:41.5pt;margin-top:41.45pt;width:119.15pt;height:16.05pt;z-index:-16005632;mso-position-horizontal-relative:page;mso-position-vertical-relative:page" filled="f" stroked="f">
          <v:textbox inset="0,0,0,0">
            <w:txbxContent>
              <w:p w14:paraId="58972898" w14:textId="1802D4D7" w:rsidR="008A4B34" w:rsidRPr="00D538A9" w:rsidRDefault="00D538A9">
                <w:pPr>
                  <w:pStyle w:val="BodyText"/>
                  <w:tabs>
                    <w:tab w:val="left" w:pos="586"/>
                  </w:tabs>
                  <w:spacing w:before="18"/>
                  <w:ind w:left="20"/>
                  <w:rPr>
                    <w:lang/>
                  </w:rPr>
                </w:pPr>
                <w:r>
                  <w:rPr>
                    <w:lang/>
                  </w:rPr>
                  <w:t>OECD/LEGAL/</w:t>
                </w:r>
                <w:r w:rsidR="00DE69DB">
                  <w:rPr>
                    <w:lang/>
                  </w:rPr>
                  <w:t>0434</w:t>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72884" w14:textId="77777777" w:rsidR="008A4B34" w:rsidRDefault="00931A60">
    <w:pPr>
      <w:pStyle w:val="BodyText"/>
      <w:spacing w:line="14" w:lineRule="auto"/>
    </w:pPr>
    <w:r>
      <w:pict w14:anchorId="5897288E">
        <v:line id="_x0000_s1030" style="position:absolute;z-index:-16005120;mso-position-horizontal-relative:page;mso-position-vertical-relative:page" from="42.5pt,56.05pt" to="438.6pt,56.05pt" strokecolor="#2a2928" strokeweight=".63pt">
          <w10:wrap anchorx="page" anchory="page"/>
        </v:line>
      </w:pict>
    </w:r>
    <w:r>
      <w:pict w14:anchorId="5897288F">
        <v:shapetype id="_x0000_t202" coordsize="21600,21600" o:spt="202" path="m,l,21600r21600,l21600,xe">
          <v:stroke joinstyle="miter"/>
          <v:path gradientshapeok="t" o:connecttype="rect"/>
        </v:shapetype>
        <v:shape id="_x0000_s1029" type="#_x0000_t202" style="position:absolute;margin-left:432.1pt;margin-top:41.45pt;width:126pt;height:16.05pt;z-index:-16004608;mso-position-horizontal-relative:page;mso-position-vertical-relative:page" filled="f" stroked="f">
          <v:textbox inset="0,0,0,0">
            <w:txbxContent>
              <w:p w14:paraId="58972899" w14:textId="03BF8AC1" w:rsidR="008A4B34" w:rsidRPr="00A808B1" w:rsidRDefault="00A808B1">
                <w:pPr>
                  <w:pStyle w:val="BodyText"/>
                  <w:tabs>
                    <w:tab w:val="left" w:pos="2203"/>
                  </w:tabs>
                  <w:spacing w:before="18"/>
                  <w:ind w:left="20"/>
                  <w:rPr>
                    <w:lang/>
                  </w:rPr>
                </w:pPr>
                <w:r>
                  <w:rPr>
                    <w:lang/>
                  </w:rPr>
                  <w:t>OECD/LEGAL/0434</w:t>
                </w:r>
              </w:p>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72885" w14:textId="77777777" w:rsidR="008A4B34" w:rsidRDefault="00931A60">
    <w:pPr>
      <w:pStyle w:val="BodyText"/>
      <w:spacing w:line="14" w:lineRule="auto"/>
    </w:pPr>
    <w:r>
      <w:pict w14:anchorId="58972890">
        <v:line id="_x0000_s1028" style="position:absolute;z-index:-16004096;mso-position-horizontal-relative:page;mso-position-vertical-relative:page" from="158pt,56.05pt" to="554.1pt,56.05pt" strokecolor="#2a2928" strokeweight=".63pt">
          <w10:wrap anchorx="page" anchory="page"/>
        </v:line>
      </w:pict>
    </w:r>
    <w:r>
      <w:pict w14:anchorId="58972891">
        <v:shapetype id="_x0000_t202" coordsize="21600,21600" o:spt="202" path="m,l,21600r21600,l21600,xe">
          <v:stroke joinstyle="miter"/>
          <v:path gradientshapeok="t" o:connecttype="rect"/>
        </v:shapetype>
        <v:shape id="_x0000_s1027" type="#_x0000_t202" style="position:absolute;margin-left:41.5pt;margin-top:41.45pt;width:119.15pt;height:16.05pt;z-index:-16003584;mso-position-horizontal-relative:page;mso-position-vertical-relative:page" filled="f" stroked="f">
          <v:textbox inset="0,0,0,0">
            <w:txbxContent>
              <w:p w14:paraId="5897289A" w14:textId="076A8C52" w:rsidR="008A4B34" w:rsidRPr="00A808B1" w:rsidRDefault="00A808B1">
                <w:pPr>
                  <w:pStyle w:val="BodyText"/>
                  <w:tabs>
                    <w:tab w:val="left" w:pos="586"/>
                  </w:tabs>
                  <w:spacing w:before="18"/>
                  <w:ind w:left="20"/>
                  <w:rPr>
                    <w:lang/>
                  </w:rPr>
                </w:pPr>
                <w:r>
                  <w:rPr>
                    <w:lang/>
                  </w:rPr>
                  <w:t>OECD/LEGAL/</w:t>
                </w:r>
                <w:r w:rsidR="005A333E">
                  <w:rPr>
                    <w:lang/>
                  </w:rPr>
                  <w:t>0434</w:t>
                </w:r>
              </w:p>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72886" w14:textId="77777777" w:rsidR="008A4B34" w:rsidRDefault="00931A60">
    <w:pPr>
      <w:pStyle w:val="BodyText"/>
      <w:spacing w:line="14" w:lineRule="auto"/>
    </w:pPr>
    <w:r>
      <w:pict w14:anchorId="58972892">
        <v:line id="_x0000_s1026" style="position:absolute;z-index:-16003072;mso-position-horizontal-relative:page;mso-position-vertical-relative:page" from="42.5pt,56.05pt" to="438.6pt,56.05pt" strokecolor="#2a2928" strokeweight=".63pt">
          <w10:wrap anchorx="page" anchory="page"/>
        </v:line>
      </w:pict>
    </w:r>
    <w:r>
      <w:pict w14:anchorId="58972893">
        <v:shapetype id="_x0000_t202" coordsize="21600,21600" o:spt="202" path="m,l,21600r21600,l21600,xe">
          <v:stroke joinstyle="miter"/>
          <v:path gradientshapeok="t" o:connecttype="rect"/>
        </v:shapetype>
        <v:shape id="_x0000_s1025" type="#_x0000_t202" style="position:absolute;margin-left:432.1pt;margin-top:41.45pt;width:126pt;height:16.05pt;z-index:-16002560;mso-position-horizontal-relative:page;mso-position-vertical-relative:page" filled="f" stroked="f">
          <v:textbox inset="0,0,0,0">
            <w:txbxContent>
              <w:p w14:paraId="5897289B" w14:textId="40929099" w:rsidR="008A4B34" w:rsidRPr="005A333E" w:rsidRDefault="005A333E">
                <w:pPr>
                  <w:pStyle w:val="BodyText"/>
                  <w:tabs>
                    <w:tab w:val="left" w:pos="2188"/>
                  </w:tabs>
                  <w:spacing w:before="18"/>
                  <w:ind w:left="20"/>
                  <w:rPr>
                    <w:lang/>
                  </w:rPr>
                </w:pPr>
                <w:r>
                  <w:rPr>
                    <w:lang/>
                  </w:rPr>
                  <w:t>OECD/LEGAL/</w:t>
                </w:r>
                <w:r w:rsidR="00130D70">
                  <w:rPr>
                    <w:lang/>
                  </w:rPr>
                  <w:t>0434</w:t>
                </w:r>
              </w:p>
            </w:txbxContent>
          </v:textbox>
          <w10:wrap anchorx="page"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72887" w14:textId="77777777" w:rsidR="008A4B34" w:rsidRDefault="008A4B34">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44698"/>
    <w:multiLevelType w:val="hybridMultilevel"/>
    <w:tmpl w:val="D834C044"/>
    <w:lvl w:ilvl="0" w:tplc="8064196C">
      <w:start w:val="1"/>
      <w:numFmt w:val="decimal"/>
      <w:lvlText w:val="%1."/>
      <w:lvlJc w:val="left"/>
      <w:pPr>
        <w:ind w:left="836" w:hanging="720"/>
        <w:jc w:val="left"/>
      </w:pPr>
      <w:rPr>
        <w:rFonts w:ascii="Arial" w:eastAsia="Arial" w:hAnsi="Arial" w:cs="Arial" w:hint="default"/>
        <w:spacing w:val="-1"/>
        <w:w w:val="99"/>
        <w:sz w:val="20"/>
        <w:szCs w:val="20"/>
        <w:lang w:val="en-US" w:eastAsia="en-US" w:bidi="ar-SA"/>
      </w:rPr>
    </w:lvl>
    <w:lvl w:ilvl="1" w:tplc="B84A9BBA">
      <w:start w:val="1"/>
      <w:numFmt w:val="lowerRoman"/>
      <w:lvlText w:val="%2)"/>
      <w:lvlJc w:val="left"/>
      <w:pPr>
        <w:ind w:left="829" w:hanging="356"/>
        <w:jc w:val="left"/>
      </w:pPr>
      <w:rPr>
        <w:rFonts w:ascii="Arial" w:eastAsia="Arial" w:hAnsi="Arial" w:cs="Arial" w:hint="default"/>
        <w:spacing w:val="-2"/>
        <w:w w:val="99"/>
        <w:sz w:val="20"/>
        <w:szCs w:val="20"/>
        <w:lang w:val="en-US" w:eastAsia="en-US" w:bidi="ar-SA"/>
      </w:rPr>
    </w:lvl>
    <w:lvl w:ilvl="2" w:tplc="B520248C">
      <w:numFmt w:val="bullet"/>
      <w:lvlText w:val="•"/>
      <w:lvlJc w:val="left"/>
      <w:pPr>
        <w:ind w:left="1780" w:hanging="356"/>
      </w:pPr>
      <w:rPr>
        <w:rFonts w:hint="default"/>
        <w:lang w:val="en-US" w:eastAsia="en-US" w:bidi="ar-SA"/>
      </w:rPr>
    </w:lvl>
    <w:lvl w:ilvl="3" w:tplc="9A4E2F2C">
      <w:numFmt w:val="bullet"/>
      <w:lvlText w:val="•"/>
      <w:lvlJc w:val="left"/>
      <w:pPr>
        <w:ind w:left="2721" w:hanging="356"/>
      </w:pPr>
      <w:rPr>
        <w:rFonts w:hint="default"/>
        <w:lang w:val="en-US" w:eastAsia="en-US" w:bidi="ar-SA"/>
      </w:rPr>
    </w:lvl>
    <w:lvl w:ilvl="4" w:tplc="12189CBC">
      <w:numFmt w:val="bullet"/>
      <w:lvlText w:val="•"/>
      <w:lvlJc w:val="left"/>
      <w:pPr>
        <w:ind w:left="3662" w:hanging="356"/>
      </w:pPr>
      <w:rPr>
        <w:rFonts w:hint="default"/>
        <w:lang w:val="en-US" w:eastAsia="en-US" w:bidi="ar-SA"/>
      </w:rPr>
    </w:lvl>
    <w:lvl w:ilvl="5" w:tplc="7B0E5B7E">
      <w:numFmt w:val="bullet"/>
      <w:lvlText w:val="•"/>
      <w:lvlJc w:val="left"/>
      <w:pPr>
        <w:ind w:left="4602" w:hanging="356"/>
      </w:pPr>
      <w:rPr>
        <w:rFonts w:hint="default"/>
        <w:lang w:val="en-US" w:eastAsia="en-US" w:bidi="ar-SA"/>
      </w:rPr>
    </w:lvl>
    <w:lvl w:ilvl="6" w:tplc="56847D92">
      <w:numFmt w:val="bullet"/>
      <w:lvlText w:val="•"/>
      <w:lvlJc w:val="left"/>
      <w:pPr>
        <w:ind w:left="5543" w:hanging="356"/>
      </w:pPr>
      <w:rPr>
        <w:rFonts w:hint="default"/>
        <w:lang w:val="en-US" w:eastAsia="en-US" w:bidi="ar-SA"/>
      </w:rPr>
    </w:lvl>
    <w:lvl w:ilvl="7" w:tplc="CE5AEB1E">
      <w:numFmt w:val="bullet"/>
      <w:lvlText w:val="•"/>
      <w:lvlJc w:val="left"/>
      <w:pPr>
        <w:ind w:left="6484" w:hanging="356"/>
      </w:pPr>
      <w:rPr>
        <w:rFonts w:hint="default"/>
        <w:lang w:val="en-US" w:eastAsia="en-US" w:bidi="ar-SA"/>
      </w:rPr>
    </w:lvl>
    <w:lvl w:ilvl="8" w:tplc="70F86FBC">
      <w:numFmt w:val="bullet"/>
      <w:lvlText w:val="•"/>
      <w:lvlJc w:val="left"/>
      <w:pPr>
        <w:ind w:left="7424" w:hanging="356"/>
      </w:pPr>
      <w:rPr>
        <w:rFonts w:hint="default"/>
        <w:lang w:val="en-US" w:eastAsia="en-US" w:bidi="ar-SA"/>
      </w:rPr>
    </w:lvl>
  </w:abstractNum>
  <w:abstractNum w:abstractNumId="1" w15:restartNumberingAfterBreak="0">
    <w:nsid w:val="0AC60668"/>
    <w:multiLevelType w:val="hybridMultilevel"/>
    <w:tmpl w:val="FC561126"/>
    <w:lvl w:ilvl="0" w:tplc="3B849BD8">
      <w:start w:val="1"/>
      <w:numFmt w:val="decimal"/>
      <w:lvlText w:val="%1."/>
      <w:lvlJc w:val="left"/>
      <w:pPr>
        <w:ind w:left="116" w:hanging="720"/>
        <w:jc w:val="left"/>
      </w:pPr>
      <w:rPr>
        <w:rFonts w:ascii="Arial" w:eastAsia="Arial" w:hAnsi="Arial" w:cs="Arial" w:hint="default"/>
        <w:spacing w:val="-1"/>
        <w:w w:val="99"/>
        <w:sz w:val="20"/>
        <w:szCs w:val="20"/>
        <w:lang w:val="en-US" w:eastAsia="en-US" w:bidi="ar-SA"/>
      </w:rPr>
    </w:lvl>
    <w:lvl w:ilvl="1" w:tplc="189C9FFE">
      <w:start w:val="1"/>
      <w:numFmt w:val="lowerRoman"/>
      <w:lvlText w:val="%2)"/>
      <w:lvlJc w:val="left"/>
      <w:pPr>
        <w:ind w:left="829" w:hanging="356"/>
        <w:jc w:val="left"/>
      </w:pPr>
      <w:rPr>
        <w:rFonts w:ascii="Arial" w:eastAsia="Arial" w:hAnsi="Arial" w:cs="Arial" w:hint="default"/>
        <w:spacing w:val="-2"/>
        <w:w w:val="99"/>
        <w:sz w:val="20"/>
        <w:szCs w:val="20"/>
        <w:lang w:val="en-US" w:eastAsia="en-US" w:bidi="ar-SA"/>
      </w:rPr>
    </w:lvl>
    <w:lvl w:ilvl="2" w:tplc="432ED0F2">
      <w:numFmt w:val="bullet"/>
      <w:lvlText w:val="•"/>
      <w:lvlJc w:val="left"/>
      <w:pPr>
        <w:ind w:left="1762" w:hanging="356"/>
      </w:pPr>
      <w:rPr>
        <w:rFonts w:hint="default"/>
        <w:lang w:val="en-US" w:eastAsia="en-US" w:bidi="ar-SA"/>
      </w:rPr>
    </w:lvl>
    <w:lvl w:ilvl="3" w:tplc="704EE284">
      <w:numFmt w:val="bullet"/>
      <w:lvlText w:val="•"/>
      <w:lvlJc w:val="left"/>
      <w:pPr>
        <w:ind w:left="2705" w:hanging="356"/>
      </w:pPr>
      <w:rPr>
        <w:rFonts w:hint="default"/>
        <w:lang w:val="en-US" w:eastAsia="en-US" w:bidi="ar-SA"/>
      </w:rPr>
    </w:lvl>
    <w:lvl w:ilvl="4" w:tplc="9A10CCE2">
      <w:numFmt w:val="bullet"/>
      <w:lvlText w:val="•"/>
      <w:lvlJc w:val="left"/>
      <w:pPr>
        <w:ind w:left="3648" w:hanging="356"/>
      </w:pPr>
      <w:rPr>
        <w:rFonts w:hint="default"/>
        <w:lang w:val="en-US" w:eastAsia="en-US" w:bidi="ar-SA"/>
      </w:rPr>
    </w:lvl>
    <w:lvl w:ilvl="5" w:tplc="75E67D1C">
      <w:numFmt w:val="bullet"/>
      <w:lvlText w:val="•"/>
      <w:lvlJc w:val="left"/>
      <w:pPr>
        <w:ind w:left="4591" w:hanging="356"/>
      </w:pPr>
      <w:rPr>
        <w:rFonts w:hint="default"/>
        <w:lang w:val="en-US" w:eastAsia="en-US" w:bidi="ar-SA"/>
      </w:rPr>
    </w:lvl>
    <w:lvl w:ilvl="6" w:tplc="3A461688">
      <w:numFmt w:val="bullet"/>
      <w:lvlText w:val="•"/>
      <w:lvlJc w:val="left"/>
      <w:pPr>
        <w:ind w:left="5534" w:hanging="356"/>
      </w:pPr>
      <w:rPr>
        <w:rFonts w:hint="default"/>
        <w:lang w:val="en-US" w:eastAsia="en-US" w:bidi="ar-SA"/>
      </w:rPr>
    </w:lvl>
    <w:lvl w:ilvl="7" w:tplc="ABA681C2">
      <w:numFmt w:val="bullet"/>
      <w:lvlText w:val="•"/>
      <w:lvlJc w:val="left"/>
      <w:pPr>
        <w:ind w:left="6477" w:hanging="356"/>
      </w:pPr>
      <w:rPr>
        <w:rFonts w:hint="default"/>
        <w:lang w:val="en-US" w:eastAsia="en-US" w:bidi="ar-SA"/>
      </w:rPr>
    </w:lvl>
    <w:lvl w:ilvl="8" w:tplc="7616CB74">
      <w:numFmt w:val="bullet"/>
      <w:lvlText w:val="•"/>
      <w:lvlJc w:val="left"/>
      <w:pPr>
        <w:ind w:left="7420" w:hanging="356"/>
      </w:pPr>
      <w:rPr>
        <w:rFonts w:hint="default"/>
        <w:lang w:val="en-US" w:eastAsia="en-US" w:bidi="ar-SA"/>
      </w:rPr>
    </w:lvl>
  </w:abstractNum>
  <w:abstractNum w:abstractNumId="2" w15:restartNumberingAfterBreak="0">
    <w:nsid w:val="0E807D01"/>
    <w:multiLevelType w:val="hybridMultilevel"/>
    <w:tmpl w:val="AEAC7C64"/>
    <w:lvl w:ilvl="0" w:tplc="654CAB6C">
      <w:start w:val="1"/>
      <w:numFmt w:val="decimal"/>
      <w:lvlText w:val="%1."/>
      <w:lvlJc w:val="left"/>
      <w:pPr>
        <w:ind w:left="116" w:hanging="720"/>
        <w:jc w:val="left"/>
      </w:pPr>
      <w:rPr>
        <w:rFonts w:ascii="Arial" w:eastAsia="Arial" w:hAnsi="Arial" w:cs="Arial" w:hint="default"/>
        <w:spacing w:val="-1"/>
        <w:w w:val="99"/>
        <w:sz w:val="20"/>
        <w:szCs w:val="20"/>
        <w:lang w:val="en-US" w:eastAsia="en-US" w:bidi="ar-SA"/>
      </w:rPr>
    </w:lvl>
    <w:lvl w:ilvl="1" w:tplc="E31E830A">
      <w:numFmt w:val="bullet"/>
      <w:lvlText w:val="•"/>
      <w:lvlJc w:val="left"/>
      <w:pPr>
        <w:ind w:left="1038" w:hanging="720"/>
      </w:pPr>
      <w:rPr>
        <w:rFonts w:hint="default"/>
        <w:lang w:val="en-US" w:eastAsia="en-US" w:bidi="ar-SA"/>
      </w:rPr>
    </w:lvl>
    <w:lvl w:ilvl="2" w:tplc="ACFAA64A">
      <w:numFmt w:val="bullet"/>
      <w:lvlText w:val="•"/>
      <w:lvlJc w:val="left"/>
      <w:pPr>
        <w:ind w:left="1957" w:hanging="720"/>
      </w:pPr>
      <w:rPr>
        <w:rFonts w:hint="default"/>
        <w:lang w:val="en-US" w:eastAsia="en-US" w:bidi="ar-SA"/>
      </w:rPr>
    </w:lvl>
    <w:lvl w:ilvl="3" w:tplc="FB5C7D00">
      <w:numFmt w:val="bullet"/>
      <w:lvlText w:val="•"/>
      <w:lvlJc w:val="left"/>
      <w:pPr>
        <w:ind w:left="2875" w:hanging="720"/>
      </w:pPr>
      <w:rPr>
        <w:rFonts w:hint="default"/>
        <w:lang w:val="en-US" w:eastAsia="en-US" w:bidi="ar-SA"/>
      </w:rPr>
    </w:lvl>
    <w:lvl w:ilvl="4" w:tplc="D646C7BC">
      <w:numFmt w:val="bullet"/>
      <w:lvlText w:val="•"/>
      <w:lvlJc w:val="left"/>
      <w:pPr>
        <w:ind w:left="3794" w:hanging="720"/>
      </w:pPr>
      <w:rPr>
        <w:rFonts w:hint="default"/>
        <w:lang w:val="en-US" w:eastAsia="en-US" w:bidi="ar-SA"/>
      </w:rPr>
    </w:lvl>
    <w:lvl w:ilvl="5" w:tplc="090E9794">
      <w:numFmt w:val="bullet"/>
      <w:lvlText w:val="•"/>
      <w:lvlJc w:val="left"/>
      <w:pPr>
        <w:ind w:left="4713" w:hanging="720"/>
      </w:pPr>
      <w:rPr>
        <w:rFonts w:hint="default"/>
        <w:lang w:val="en-US" w:eastAsia="en-US" w:bidi="ar-SA"/>
      </w:rPr>
    </w:lvl>
    <w:lvl w:ilvl="6" w:tplc="97D09544">
      <w:numFmt w:val="bullet"/>
      <w:lvlText w:val="•"/>
      <w:lvlJc w:val="left"/>
      <w:pPr>
        <w:ind w:left="5631" w:hanging="720"/>
      </w:pPr>
      <w:rPr>
        <w:rFonts w:hint="default"/>
        <w:lang w:val="en-US" w:eastAsia="en-US" w:bidi="ar-SA"/>
      </w:rPr>
    </w:lvl>
    <w:lvl w:ilvl="7" w:tplc="CDD85290">
      <w:numFmt w:val="bullet"/>
      <w:lvlText w:val="•"/>
      <w:lvlJc w:val="left"/>
      <w:pPr>
        <w:ind w:left="6550" w:hanging="720"/>
      </w:pPr>
      <w:rPr>
        <w:rFonts w:hint="default"/>
        <w:lang w:val="en-US" w:eastAsia="en-US" w:bidi="ar-SA"/>
      </w:rPr>
    </w:lvl>
    <w:lvl w:ilvl="8" w:tplc="E21AB9EA">
      <w:numFmt w:val="bullet"/>
      <w:lvlText w:val="•"/>
      <w:lvlJc w:val="left"/>
      <w:pPr>
        <w:ind w:left="7469" w:hanging="720"/>
      </w:pPr>
      <w:rPr>
        <w:rFonts w:hint="default"/>
        <w:lang w:val="en-US" w:eastAsia="en-US" w:bidi="ar-SA"/>
      </w:rPr>
    </w:lvl>
  </w:abstractNum>
  <w:abstractNum w:abstractNumId="3" w15:restartNumberingAfterBreak="0">
    <w:nsid w:val="131A0297"/>
    <w:multiLevelType w:val="hybridMultilevel"/>
    <w:tmpl w:val="F1DC0F46"/>
    <w:lvl w:ilvl="0" w:tplc="76DE89A4">
      <w:start w:val="1"/>
      <w:numFmt w:val="decimal"/>
      <w:lvlText w:val="%1."/>
      <w:lvlJc w:val="left"/>
      <w:pPr>
        <w:ind w:left="836" w:hanging="720"/>
        <w:jc w:val="left"/>
      </w:pPr>
      <w:rPr>
        <w:rFonts w:ascii="Arial" w:eastAsia="Arial" w:hAnsi="Arial" w:cs="Arial" w:hint="default"/>
        <w:spacing w:val="-1"/>
        <w:w w:val="99"/>
        <w:sz w:val="20"/>
        <w:szCs w:val="20"/>
        <w:lang w:val="en-US" w:eastAsia="en-US" w:bidi="ar-SA"/>
      </w:rPr>
    </w:lvl>
    <w:lvl w:ilvl="1" w:tplc="BCF232D2">
      <w:start w:val="1"/>
      <w:numFmt w:val="lowerRoman"/>
      <w:lvlText w:val="%2)"/>
      <w:lvlJc w:val="left"/>
      <w:pPr>
        <w:ind w:left="829" w:hanging="356"/>
        <w:jc w:val="left"/>
      </w:pPr>
      <w:rPr>
        <w:rFonts w:ascii="Arial" w:eastAsia="Arial" w:hAnsi="Arial" w:cs="Arial" w:hint="default"/>
        <w:spacing w:val="-2"/>
        <w:w w:val="99"/>
        <w:sz w:val="20"/>
        <w:szCs w:val="20"/>
        <w:lang w:val="en-US" w:eastAsia="en-US" w:bidi="ar-SA"/>
      </w:rPr>
    </w:lvl>
    <w:lvl w:ilvl="2" w:tplc="2A8CA8E2">
      <w:numFmt w:val="bullet"/>
      <w:lvlText w:val="•"/>
      <w:lvlJc w:val="left"/>
      <w:pPr>
        <w:ind w:left="1780" w:hanging="356"/>
      </w:pPr>
      <w:rPr>
        <w:rFonts w:hint="default"/>
        <w:lang w:val="en-US" w:eastAsia="en-US" w:bidi="ar-SA"/>
      </w:rPr>
    </w:lvl>
    <w:lvl w:ilvl="3" w:tplc="5C1C1F7E">
      <w:numFmt w:val="bullet"/>
      <w:lvlText w:val="•"/>
      <w:lvlJc w:val="left"/>
      <w:pPr>
        <w:ind w:left="2721" w:hanging="356"/>
      </w:pPr>
      <w:rPr>
        <w:rFonts w:hint="default"/>
        <w:lang w:val="en-US" w:eastAsia="en-US" w:bidi="ar-SA"/>
      </w:rPr>
    </w:lvl>
    <w:lvl w:ilvl="4" w:tplc="A9D02CA2">
      <w:numFmt w:val="bullet"/>
      <w:lvlText w:val="•"/>
      <w:lvlJc w:val="left"/>
      <w:pPr>
        <w:ind w:left="3662" w:hanging="356"/>
      </w:pPr>
      <w:rPr>
        <w:rFonts w:hint="default"/>
        <w:lang w:val="en-US" w:eastAsia="en-US" w:bidi="ar-SA"/>
      </w:rPr>
    </w:lvl>
    <w:lvl w:ilvl="5" w:tplc="94BEE032">
      <w:numFmt w:val="bullet"/>
      <w:lvlText w:val="•"/>
      <w:lvlJc w:val="left"/>
      <w:pPr>
        <w:ind w:left="4602" w:hanging="356"/>
      </w:pPr>
      <w:rPr>
        <w:rFonts w:hint="default"/>
        <w:lang w:val="en-US" w:eastAsia="en-US" w:bidi="ar-SA"/>
      </w:rPr>
    </w:lvl>
    <w:lvl w:ilvl="6" w:tplc="64580BD6">
      <w:numFmt w:val="bullet"/>
      <w:lvlText w:val="•"/>
      <w:lvlJc w:val="left"/>
      <w:pPr>
        <w:ind w:left="5543" w:hanging="356"/>
      </w:pPr>
      <w:rPr>
        <w:rFonts w:hint="default"/>
        <w:lang w:val="en-US" w:eastAsia="en-US" w:bidi="ar-SA"/>
      </w:rPr>
    </w:lvl>
    <w:lvl w:ilvl="7" w:tplc="5F8630CA">
      <w:numFmt w:val="bullet"/>
      <w:lvlText w:val="•"/>
      <w:lvlJc w:val="left"/>
      <w:pPr>
        <w:ind w:left="6484" w:hanging="356"/>
      </w:pPr>
      <w:rPr>
        <w:rFonts w:hint="default"/>
        <w:lang w:val="en-US" w:eastAsia="en-US" w:bidi="ar-SA"/>
      </w:rPr>
    </w:lvl>
    <w:lvl w:ilvl="8" w:tplc="3F365286">
      <w:numFmt w:val="bullet"/>
      <w:lvlText w:val="•"/>
      <w:lvlJc w:val="left"/>
      <w:pPr>
        <w:ind w:left="7424" w:hanging="356"/>
      </w:pPr>
      <w:rPr>
        <w:rFonts w:hint="default"/>
        <w:lang w:val="en-US" w:eastAsia="en-US" w:bidi="ar-SA"/>
      </w:rPr>
    </w:lvl>
  </w:abstractNum>
  <w:abstractNum w:abstractNumId="4" w15:restartNumberingAfterBreak="0">
    <w:nsid w:val="39BC288D"/>
    <w:multiLevelType w:val="hybridMultilevel"/>
    <w:tmpl w:val="BD68BCAA"/>
    <w:lvl w:ilvl="0" w:tplc="41F4C106">
      <w:numFmt w:val="bullet"/>
      <w:lvlText w:val=""/>
      <w:lvlJc w:val="left"/>
      <w:pPr>
        <w:ind w:left="852" w:hanging="711"/>
      </w:pPr>
      <w:rPr>
        <w:rFonts w:ascii="Symbol" w:eastAsia="Symbol" w:hAnsi="Symbol" w:cs="Symbol" w:hint="default"/>
        <w:w w:val="95"/>
        <w:sz w:val="20"/>
        <w:szCs w:val="20"/>
        <w:lang w:val="en-US" w:eastAsia="en-US" w:bidi="ar-SA"/>
      </w:rPr>
    </w:lvl>
    <w:lvl w:ilvl="1" w:tplc="B6AA09F2">
      <w:numFmt w:val="bullet"/>
      <w:lvlText w:val="•"/>
      <w:lvlJc w:val="left"/>
      <w:pPr>
        <w:ind w:left="1712" w:hanging="711"/>
      </w:pPr>
      <w:rPr>
        <w:rFonts w:hint="default"/>
        <w:lang w:val="en-US" w:eastAsia="en-US" w:bidi="ar-SA"/>
      </w:rPr>
    </w:lvl>
    <w:lvl w:ilvl="2" w:tplc="D3227470">
      <w:numFmt w:val="bullet"/>
      <w:lvlText w:val="•"/>
      <w:lvlJc w:val="left"/>
      <w:pPr>
        <w:ind w:left="2564" w:hanging="711"/>
      </w:pPr>
      <w:rPr>
        <w:rFonts w:hint="default"/>
        <w:lang w:val="en-US" w:eastAsia="en-US" w:bidi="ar-SA"/>
      </w:rPr>
    </w:lvl>
    <w:lvl w:ilvl="3" w:tplc="4E62962A">
      <w:numFmt w:val="bullet"/>
      <w:lvlText w:val="•"/>
      <w:lvlJc w:val="left"/>
      <w:pPr>
        <w:ind w:left="3416" w:hanging="711"/>
      </w:pPr>
      <w:rPr>
        <w:rFonts w:hint="default"/>
        <w:lang w:val="en-US" w:eastAsia="en-US" w:bidi="ar-SA"/>
      </w:rPr>
    </w:lvl>
    <w:lvl w:ilvl="4" w:tplc="7444EF28">
      <w:numFmt w:val="bullet"/>
      <w:lvlText w:val="•"/>
      <w:lvlJc w:val="left"/>
      <w:pPr>
        <w:ind w:left="4268" w:hanging="711"/>
      </w:pPr>
      <w:rPr>
        <w:rFonts w:hint="default"/>
        <w:lang w:val="en-US" w:eastAsia="en-US" w:bidi="ar-SA"/>
      </w:rPr>
    </w:lvl>
    <w:lvl w:ilvl="5" w:tplc="6C3CD4C4">
      <w:numFmt w:val="bullet"/>
      <w:lvlText w:val="•"/>
      <w:lvlJc w:val="left"/>
      <w:pPr>
        <w:ind w:left="5120" w:hanging="711"/>
      </w:pPr>
      <w:rPr>
        <w:rFonts w:hint="default"/>
        <w:lang w:val="en-US" w:eastAsia="en-US" w:bidi="ar-SA"/>
      </w:rPr>
    </w:lvl>
    <w:lvl w:ilvl="6" w:tplc="F58A423E">
      <w:numFmt w:val="bullet"/>
      <w:lvlText w:val="•"/>
      <w:lvlJc w:val="left"/>
      <w:pPr>
        <w:ind w:left="5972" w:hanging="711"/>
      </w:pPr>
      <w:rPr>
        <w:rFonts w:hint="default"/>
        <w:lang w:val="en-US" w:eastAsia="en-US" w:bidi="ar-SA"/>
      </w:rPr>
    </w:lvl>
    <w:lvl w:ilvl="7" w:tplc="CAC6BDB0">
      <w:numFmt w:val="bullet"/>
      <w:lvlText w:val="•"/>
      <w:lvlJc w:val="left"/>
      <w:pPr>
        <w:ind w:left="6824" w:hanging="711"/>
      </w:pPr>
      <w:rPr>
        <w:rFonts w:hint="default"/>
        <w:lang w:val="en-US" w:eastAsia="en-US" w:bidi="ar-SA"/>
      </w:rPr>
    </w:lvl>
    <w:lvl w:ilvl="8" w:tplc="968047F6">
      <w:numFmt w:val="bullet"/>
      <w:lvlText w:val="•"/>
      <w:lvlJc w:val="left"/>
      <w:pPr>
        <w:ind w:left="7676" w:hanging="711"/>
      </w:pPr>
      <w:rPr>
        <w:rFonts w:hint="default"/>
        <w:lang w:val="en-US" w:eastAsia="en-US" w:bidi="ar-SA"/>
      </w:rPr>
    </w:lvl>
  </w:abstractNum>
  <w:abstractNum w:abstractNumId="5" w15:restartNumberingAfterBreak="0">
    <w:nsid w:val="39C872DB"/>
    <w:multiLevelType w:val="hybridMultilevel"/>
    <w:tmpl w:val="256263C2"/>
    <w:lvl w:ilvl="0" w:tplc="9894E678">
      <w:start w:val="1"/>
      <w:numFmt w:val="decimal"/>
      <w:lvlText w:val="%1."/>
      <w:lvlJc w:val="left"/>
      <w:pPr>
        <w:ind w:left="836" w:hanging="720"/>
        <w:jc w:val="left"/>
      </w:pPr>
      <w:rPr>
        <w:rFonts w:ascii="Arial" w:eastAsia="Arial" w:hAnsi="Arial" w:cs="Arial" w:hint="default"/>
        <w:spacing w:val="-1"/>
        <w:w w:val="99"/>
        <w:sz w:val="20"/>
        <w:szCs w:val="20"/>
        <w:lang w:val="en-US" w:eastAsia="en-US" w:bidi="ar-SA"/>
      </w:rPr>
    </w:lvl>
    <w:lvl w:ilvl="1" w:tplc="3460B358">
      <w:start w:val="1"/>
      <w:numFmt w:val="lowerRoman"/>
      <w:lvlText w:val="%2)"/>
      <w:lvlJc w:val="left"/>
      <w:pPr>
        <w:ind w:left="829" w:hanging="356"/>
        <w:jc w:val="left"/>
      </w:pPr>
      <w:rPr>
        <w:rFonts w:ascii="Arial" w:eastAsia="Arial" w:hAnsi="Arial" w:cs="Arial" w:hint="default"/>
        <w:spacing w:val="-2"/>
        <w:w w:val="99"/>
        <w:sz w:val="20"/>
        <w:szCs w:val="20"/>
        <w:lang w:val="en-US" w:eastAsia="en-US" w:bidi="ar-SA"/>
      </w:rPr>
    </w:lvl>
    <w:lvl w:ilvl="2" w:tplc="E2080B96">
      <w:numFmt w:val="bullet"/>
      <w:lvlText w:val="•"/>
      <w:lvlJc w:val="left"/>
      <w:pPr>
        <w:ind w:left="1780" w:hanging="356"/>
      </w:pPr>
      <w:rPr>
        <w:rFonts w:hint="default"/>
        <w:lang w:val="en-US" w:eastAsia="en-US" w:bidi="ar-SA"/>
      </w:rPr>
    </w:lvl>
    <w:lvl w:ilvl="3" w:tplc="C5CEF3AC">
      <w:numFmt w:val="bullet"/>
      <w:lvlText w:val="•"/>
      <w:lvlJc w:val="left"/>
      <w:pPr>
        <w:ind w:left="2721" w:hanging="356"/>
      </w:pPr>
      <w:rPr>
        <w:rFonts w:hint="default"/>
        <w:lang w:val="en-US" w:eastAsia="en-US" w:bidi="ar-SA"/>
      </w:rPr>
    </w:lvl>
    <w:lvl w:ilvl="4" w:tplc="98B26154">
      <w:numFmt w:val="bullet"/>
      <w:lvlText w:val="•"/>
      <w:lvlJc w:val="left"/>
      <w:pPr>
        <w:ind w:left="3662" w:hanging="356"/>
      </w:pPr>
      <w:rPr>
        <w:rFonts w:hint="default"/>
        <w:lang w:val="en-US" w:eastAsia="en-US" w:bidi="ar-SA"/>
      </w:rPr>
    </w:lvl>
    <w:lvl w:ilvl="5" w:tplc="58D8E416">
      <w:numFmt w:val="bullet"/>
      <w:lvlText w:val="•"/>
      <w:lvlJc w:val="left"/>
      <w:pPr>
        <w:ind w:left="4602" w:hanging="356"/>
      </w:pPr>
      <w:rPr>
        <w:rFonts w:hint="default"/>
        <w:lang w:val="en-US" w:eastAsia="en-US" w:bidi="ar-SA"/>
      </w:rPr>
    </w:lvl>
    <w:lvl w:ilvl="6" w:tplc="C55E6446">
      <w:numFmt w:val="bullet"/>
      <w:lvlText w:val="•"/>
      <w:lvlJc w:val="left"/>
      <w:pPr>
        <w:ind w:left="5543" w:hanging="356"/>
      </w:pPr>
      <w:rPr>
        <w:rFonts w:hint="default"/>
        <w:lang w:val="en-US" w:eastAsia="en-US" w:bidi="ar-SA"/>
      </w:rPr>
    </w:lvl>
    <w:lvl w:ilvl="7" w:tplc="5BD80A4C">
      <w:numFmt w:val="bullet"/>
      <w:lvlText w:val="•"/>
      <w:lvlJc w:val="left"/>
      <w:pPr>
        <w:ind w:left="6484" w:hanging="356"/>
      </w:pPr>
      <w:rPr>
        <w:rFonts w:hint="default"/>
        <w:lang w:val="en-US" w:eastAsia="en-US" w:bidi="ar-SA"/>
      </w:rPr>
    </w:lvl>
    <w:lvl w:ilvl="8" w:tplc="87506856">
      <w:numFmt w:val="bullet"/>
      <w:lvlText w:val="•"/>
      <w:lvlJc w:val="left"/>
      <w:pPr>
        <w:ind w:left="7424" w:hanging="356"/>
      </w:pPr>
      <w:rPr>
        <w:rFonts w:hint="default"/>
        <w:lang w:val="en-US" w:eastAsia="en-US" w:bidi="ar-SA"/>
      </w:rPr>
    </w:lvl>
  </w:abstractNum>
  <w:abstractNum w:abstractNumId="6" w15:restartNumberingAfterBreak="0">
    <w:nsid w:val="594D30E0"/>
    <w:multiLevelType w:val="hybridMultilevel"/>
    <w:tmpl w:val="5DBC59F4"/>
    <w:lvl w:ilvl="0" w:tplc="69BCB96E">
      <w:start w:val="1"/>
      <w:numFmt w:val="decimal"/>
      <w:lvlText w:val="%1."/>
      <w:lvlJc w:val="left"/>
      <w:pPr>
        <w:ind w:left="116" w:hanging="720"/>
        <w:jc w:val="left"/>
      </w:pPr>
      <w:rPr>
        <w:rFonts w:ascii="Arial" w:eastAsia="Arial" w:hAnsi="Arial" w:cs="Arial" w:hint="default"/>
        <w:spacing w:val="-1"/>
        <w:w w:val="99"/>
        <w:sz w:val="20"/>
        <w:szCs w:val="20"/>
        <w:lang w:val="en-US" w:eastAsia="en-US" w:bidi="ar-SA"/>
      </w:rPr>
    </w:lvl>
    <w:lvl w:ilvl="1" w:tplc="5A3872AC">
      <w:numFmt w:val="bullet"/>
      <w:lvlText w:val="•"/>
      <w:lvlJc w:val="left"/>
      <w:pPr>
        <w:ind w:left="1038" w:hanging="720"/>
      </w:pPr>
      <w:rPr>
        <w:rFonts w:hint="default"/>
        <w:lang w:val="en-US" w:eastAsia="en-US" w:bidi="ar-SA"/>
      </w:rPr>
    </w:lvl>
    <w:lvl w:ilvl="2" w:tplc="AFFE32DC">
      <w:numFmt w:val="bullet"/>
      <w:lvlText w:val="•"/>
      <w:lvlJc w:val="left"/>
      <w:pPr>
        <w:ind w:left="1957" w:hanging="720"/>
      </w:pPr>
      <w:rPr>
        <w:rFonts w:hint="default"/>
        <w:lang w:val="en-US" w:eastAsia="en-US" w:bidi="ar-SA"/>
      </w:rPr>
    </w:lvl>
    <w:lvl w:ilvl="3" w:tplc="6CF4434E">
      <w:numFmt w:val="bullet"/>
      <w:lvlText w:val="•"/>
      <w:lvlJc w:val="left"/>
      <w:pPr>
        <w:ind w:left="2875" w:hanging="720"/>
      </w:pPr>
      <w:rPr>
        <w:rFonts w:hint="default"/>
        <w:lang w:val="en-US" w:eastAsia="en-US" w:bidi="ar-SA"/>
      </w:rPr>
    </w:lvl>
    <w:lvl w:ilvl="4" w:tplc="915C00E2">
      <w:numFmt w:val="bullet"/>
      <w:lvlText w:val="•"/>
      <w:lvlJc w:val="left"/>
      <w:pPr>
        <w:ind w:left="3794" w:hanging="720"/>
      </w:pPr>
      <w:rPr>
        <w:rFonts w:hint="default"/>
        <w:lang w:val="en-US" w:eastAsia="en-US" w:bidi="ar-SA"/>
      </w:rPr>
    </w:lvl>
    <w:lvl w:ilvl="5" w:tplc="49C8F5BC">
      <w:numFmt w:val="bullet"/>
      <w:lvlText w:val="•"/>
      <w:lvlJc w:val="left"/>
      <w:pPr>
        <w:ind w:left="4713" w:hanging="720"/>
      </w:pPr>
      <w:rPr>
        <w:rFonts w:hint="default"/>
        <w:lang w:val="en-US" w:eastAsia="en-US" w:bidi="ar-SA"/>
      </w:rPr>
    </w:lvl>
    <w:lvl w:ilvl="6" w:tplc="E0442BF2">
      <w:numFmt w:val="bullet"/>
      <w:lvlText w:val="•"/>
      <w:lvlJc w:val="left"/>
      <w:pPr>
        <w:ind w:left="5631" w:hanging="720"/>
      </w:pPr>
      <w:rPr>
        <w:rFonts w:hint="default"/>
        <w:lang w:val="en-US" w:eastAsia="en-US" w:bidi="ar-SA"/>
      </w:rPr>
    </w:lvl>
    <w:lvl w:ilvl="7" w:tplc="27C28A4A">
      <w:numFmt w:val="bullet"/>
      <w:lvlText w:val="•"/>
      <w:lvlJc w:val="left"/>
      <w:pPr>
        <w:ind w:left="6550" w:hanging="720"/>
      </w:pPr>
      <w:rPr>
        <w:rFonts w:hint="default"/>
        <w:lang w:val="en-US" w:eastAsia="en-US" w:bidi="ar-SA"/>
      </w:rPr>
    </w:lvl>
    <w:lvl w:ilvl="8" w:tplc="DA48AD70">
      <w:numFmt w:val="bullet"/>
      <w:lvlText w:val="•"/>
      <w:lvlJc w:val="left"/>
      <w:pPr>
        <w:ind w:left="7469" w:hanging="720"/>
      </w:pPr>
      <w:rPr>
        <w:rFonts w:hint="default"/>
        <w:lang w:val="en-US" w:eastAsia="en-US" w:bidi="ar-SA"/>
      </w:rPr>
    </w:lvl>
  </w:abstractNum>
  <w:abstractNum w:abstractNumId="7" w15:restartNumberingAfterBreak="0">
    <w:nsid w:val="72770DF1"/>
    <w:multiLevelType w:val="hybridMultilevel"/>
    <w:tmpl w:val="2CB44BD6"/>
    <w:lvl w:ilvl="0" w:tplc="D15AFB2A">
      <w:start w:val="1"/>
      <w:numFmt w:val="decimal"/>
      <w:lvlText w:val="%1."/>
      <w:lvlJc w:val="left"/>
      <w:pPr>
        <w:ind w:left="836" w:hanging="720"/>
        <w:jc w:val="left"/>
      </w:pPr>
      <w:rPr>
        <w:rFonts w:ascii="Arial" w:eastAsia="Arial" w:hAnsi="Arial" w:cs="Arial" w:hint="default"/>
        <w:spacing w:val="-1"/>
        <w:w w:val="99"/>
        <w:sz w:val="20"/>
        <w:szCs w:val="20"/>
        <w:lang w:val="en-US" w:eastAsia="en-US" w:bidi="ar-SA"/>
      </w:rPr>
    </w:lvl>
    <w:lvl w:ilvl="1" w:tplc="35DA5980">
      <w:start w:val="1"/>
      <w:numFmt w:val="upperLetter"/>
      <w:lvlText w:val="%2."/>
      <w:lvlJc w:val="left"/>
      <w:pPr>
        <w:ind w:left="3522" w:hanging="720"/>
        <w:jc w:val="right"/>
      </w:pPr>
      <w:rPr>
        <w:rFonts w:ascii="Arial" w:eastAsia="Arial" w:hAnsi="Arial" w:cs="Arial" w:hint="default"/>
        <w:b/>
        <w:bCs/>
        <w:spacing w:val="-5"/>
        <w:w w:val="99"/>
        <w:sz w:val="20"/>
        <w:szCs w:val="20"/>
        <w:lang w:val="en-US" w:eastAsia="en-US" w:bidi="ar-SA"/>
      </w:rPr>
    </w:lvl>
    <w:lvl w:ilvl="2" w:tplc="09566CA2">
      <w:numFmt w:val="bullet"/>
      <w:lvlText w:val="•"/>
      <w:lvlJc w:val="left"/>
      <w:pPr>
        <w:ind w:left="4162" w:hanging="720"/>
      </w:pPr>
      <w:rPr>
        <w:rFonts w:hint="default"/>
        <w:lang w:val="en-US" w:eastAsia="en-US" w:bidi="ar-SA"/>
      </w:rPr>
    </w:lvl>
    <w:lvl w:ilvl="3" w:tplc="EB70DAF6">
      <w:numFmt w:val="bullet"/>
      <w:lvlText w:val="•"/>
      <w:lvlJc w:val="left"/>
      <w:pPr>
        <w:ind w:left="4805" w:hanging="720"/>
      </w:pPr>
      <w:rPr>
        <w:rFonts w:hint="default"/>
        <w:lang w:val="en-US" w:eastAsia="en-US" w:bidi="ar-SA"/>
      </w:rPr>
    </w:lvl>
    <w:lvl w:ilvl="4" w:tplc="95460800">
      <w:numFmt w:val="bullet"/>
      <w:lvlText w:val="•"/>
      <w:lvlJc w:val="left"/>
      <w:pPr>
        <w:ind w:left="5448" w:hanging="720"/>
      </w:pPr>
      <w:rPr>
        <w:rFonts w:hint="default"/>
        <w:lang w:val="en-US" w:eastAsia="en-US" w:bidi="ar-SA"/>
      </w:rPr>
    </w:lvl>
    <w:lvl w:ilvl="5" w:tplc="50FAD8A0">
      <w:numFmt w:val="bullet"/>
      <w:lvlText w:val="•"/>
      <w:lvlJc w:val="left"/>
      <w:pPr>
        <w:ind w:left="6091" w:hanging="720"/>
      </w:pPr>
      <w:rPr>
        <w:rFonts w:hint="default"/>
        <w:lang w:val="en-US" w:eastAsia="en-US" w:bidi="ar-SA"/>
      </w:rPr>
    </w:lvl>
    <w:lvl w:ilvl="6" w:tplc="29588AA8">
      <w:numFmt w:val="bullet"/>
      <w:lvlText w:val="•"/>
      <w:lvlJc w:val="left"/>
      <w:pPr>
        <w:ind w:left="6734" w:hanging="720"/>
      </w:pPr>
      <w:rPr>
        <w:rFonts w:hint="default"/>
        <w:lang w:val="en-US" w:eastAsia="en-US" w:bidi="ar-SA"/>
      </w:rPr>
    </w:lvl>
    <w:lvl w:ilvl="7" w:tplc="C13A6E6E">
      <w:numFmt w:val="bullet"/>
      <w:lvlText w:val="•"/>
      <w:lvlJc w:val="left"/>
      <w:pPr>
        <w:ind w:left="7377" w:hanging="720"/>
      </w:pPr>
      <w:rPr>
        <w:rFonts w:hint="default"/>
        <w:lang w:val="en-US" w:eastAsia="en-US" w:bidi="ar-SA"/>
      </w:rPr>
    </w:lvl>
    <w:lvl w:ilvl="8" w:tplc="CDC46E60">
      <w:numFmt w:val="bullet"/>
      <w:lvlText w:val="•"/>
      <w:lvlJc w:val="left"/>
      <w:pPr>
        <w:ind w:left="8020" w:hanging="720"/>
      </w:pPr>
      <w:rPr>
        <w:rFonts w:hint="default"/>
        <w:lang w:val="en-US" w:eastAsia="en-US" w:bidi="ar-SA"/>
      </w:rPr>
    </w:lvl>
  </w:abstractNum>
  <w:abstractNum w:abstractNumId="8" w15:restartNumberingAfterBreak="0">
    <w:nsid w:val="747D34E9"/>
    <w:multiLevelType w:val="hybridMultilevel"/>
    <w:tmpl w:val="04A6BF1E"/>
    <w:lvl w:ilvl="0" w:tplc="5394A644">
      <w:start w:val="1"/>
      <w:numFmt w:val="upperRoman"/>
      <w:lvlText w:val="%1."/>
      <w:lvlJc w:val="left"/>
      <w:pPr>
        <w:ind w:left="116" w:hanging="720"/>
        <w:jc w:val="left"/>
      </w:pPr>
      <w:rPr>
        <w:rFonts w:ascii="Arial" w:eastAsia="Arial" w:hAnsi="Arial" w:cs="Arial" w:hint="default"/>
        <w:b/>
        <w:bCs/>
        <w:spacing w:val="-1"/>
        <w:w w:val="99"/>
        <w:sz w:val="20"/>
        <w:szCs w:val="20"/>
        <w:lang w:val="en-US" w:eastAsia="en-US" w:bidi="ar-SA"/>
      </w:rPr>
    </w:lvl>
    <w:lvl w:ilvl="1" w:tplc="0CBA8A2C">
      <w:numFmt w:val="bullet"/>
      <w:lvlText w:val="-"/>
      <w:lvlJc w:val="left"/>
      <w:pPr>
        <w:ind w:left="829" w:hanging="356"/>
      </w:pPr>
      <w:rPr>
        <w:rFonts w:ascii="Times New Roman" w:eastAsia="Times New Roman" w:hAnsi="Times New Roman" w:cs="Times New Roman" w:hint="default"/>
        <w:w w:val="100"/>
        <w:sz w:val="22"/>
        <w:szCs w:val="22"/>
        <w:lang w:val="en-US" w:eastAsia="en-US" w:bidi="ar-SA"/>
      </w:rPr>
    </w:lvl>
    <w:lvl w:ilvl="2" w:tplc="435A3190">
      <w:numFmt w:val="bullet"/>
      <w:lvlText w:val="•"/>
      <w:lvlJc w:val="left"/>
      <w:pPr>
        <w:ind w:left="1762" w:hanging="356"/>
      </w:pPr>
      <w:rPr>
        <w:rFonts w:hint="default"/>
        <w:lang w:val="en-US" w:eastAsia="en-US" w:bidi="ar-SA"/>
      </w:rPr>
    </w:lvl>
    <w:lvl w:ilvl="3" w:tplc="F25429CE">
      <w:numFmt w:val="bullet"/>
      <w:lvlText w:val="•"/>
      <w:lvlJc w:val="left"/>
      <w:pPr>
        <w:ind w:left="2705" w:hanging="356"/>
      </w:pPr>
      <w:rPr>
        <w:rFonts w:hint="default"/>
        <w:lang w:val="en-US" w:eastAsia="en-US" w:bidi="ar-SA"/>
      </w:rPr>
    </w:lvl>
    <w:lvl w:ilvl="4" w:tplc="1F765D36">
      <w:numFmt w:val="bullet"/>
      <w:lvlText w:val="•"/>
      <w:lvlJc w:val="left"/>
      <w:pPr>
        <w:ind w:left="3648" w:hanging="356"/>
      </w:pPr>
      <w:rPr>
        <w:rFonts w:hint="default"/>
        <w:lang w:val="en-US" w:eastAsia="en-US" w:bidi="ar-SA"/>
      </w:rPr>
    </w:lvl>
    <w:lvl w:ilvl="5" w:tplc="605619D8">
      <w:numFmt w:val="bullet"/>
      <w:lvlText w:val="•"/>
      <w:lvlJc w:val="left"/>
      <w:pPr>
        <w:ind w:left="4591" w:hanging="356"/>
      </w:pPr>
      <w:rPr>
        <w:rFonts w:hint="default"/>
        <w:lang w:val="en-US" w:eastAsia="en-US" w:bidi="ar-SA"/>
      </w:rPr>
    </w:lvl>
    <w:lvl w:ilvl="6" w:tplc="FC40CB74">
      <w:numFmt w:val="bullet"/>
      <w:lvlText w:val="•"/>
      <w:lvlJc w:val="left"/>
      <w:pPr>
        <w:ind w:left="5534" w:hanging="356"/>
      </w:pPr>
      <w:rPr>
        <w:rFonts w:hint="default"/>
        <w:lang w:val="en-US" w:eastAsia="en-US" w:bidi="ar-SA"/>
      </w:rPr>
    </w:lvl>
    <w:lvl w:ilvl="7" w:tplc="97807008">
      <w:numFmt w:val="bullet"/>
      <w:lvlText w:val="•"/>
      <w:lvlJc w:val="left"/>
      <w:pPr>
        <w:ind w:left="6477" w:hanging="356"/>
      </w:pPr>
      <w:rPr>
        <w:rFonts w:hint="default"/>
        <w:lang w:val="en-US" w:eastAsia="en-US" w:bidi="ar-SA"/>
      </w:rPr>
    </w:lvl>
    <w:lvl w:ilvl="8" w:tplc="4F9EE826">
      <w:numFmt w:val="bullet"/>
      <w:lvlText w:val="•"/>
      <w:lvlJc w:val="left"/>
      <w:pPr>
        <w:ind w:left="7420" w:hanging="356"/>
      </w:pPr>
      <w:rPr>
        <w:rFonts w:hint="default"/>
        <w:lang w:val="en-US" w:eastAsia="en-US" w:bidi="ar-SA"/>
      </w:rPr>
    </w:lvl>
  </w:abstractNum>
  <w:abstractNum w:abstractNumId="9" w15:restartNumberingAfterBreak="0">
    <w:nsid w:val="7AF42C13"/>
    <w:multiLevelType w:val="hybridMultilevel"/>
    <w:tmpl w:val="407E85B2"/>
    <w:lvl w:ilvl="0" w:tplc="61F2EF82">
      <w:start w:val="1"/>
      <w:numFmt w:val="decimal"/>
      <w:lvlText w:val="%1."/>
      <w:lvlJc w:val="left"/>
      <w:pPr>
        <w:ind w:left="116" w:hanging="720"/>
        <w:jc w:val="left"/>
      </w:pPr>
      <w:rPr>
        <w:rFonts w:ascii="Arial" w:eastAsia="Arial" w:hAnsi="Arial" w:cs="Arial" w:hint="default"/>
        <w:spacing w:val="-1"/>
        <w:w w:val="99"/>
        <w:sz w:val="20"/>
        <w:szCs w:val="20"/>
        <w:lang w:val="en-US" w:eastAsia="en-US" w:bidi="ar-SA"/>
      </w:rPr>
    </w:lvl>
    <w:lvl w:ilvl="1" w:tplc="E2F6AEE0">
      <w:numFmt w:val="bullet"/>
      <w:lvlText w:val="•"/>
      <w:lvlJc w:val="left"/>
      <w:pPr>
        <w:ind w:left="1038" w:hanging="720"/>
      </w:pPr>
      <w:rPr>
        <w:rFonts w:hint="default"/>
        <w:lang w:val="en-US" w:eastAsia="en-US" w:bidi="ar-SA"/>
      </w:rPr>
    </w:lvl>
    <w:lvl w:ilvl="2" w:tplc="34C6EB10">
      <w:numFmt w:val="bullet"/>
      <w:lvlText w:val="•"/>
      <w:lvlJc w:val="left"/>
      <w:pPr>
        <w:ind w:left="1957" w:hanging="720"/>
      </w:pPr>
      <w:rPr>
        <w:rFonts w:hint="default"/>
        <w:lang w:val="en-US" w:eastAsia="en-US" w:bidi="ar-SA"/>
      </w:rPr>
    </w:lvl>
    <w:lvl w:ilvl="3" w:tplc="55D08D7A">
      <w:numFmt w:val="bullet"/>
      <w:lvlText w:val="•"/>
      <w:lvlJc w:val="left"/>
      <w:pPr>
        <w:ind w:left="2875" w:hanging="720"/>
      </w:pPr>
      <w:rPr>
        <w:rFonts w:hint="default"/>
        <w:lang w:val="en-US" w:eastAsia="en-US" w:bidi="ar-SA"/>
      </w:rPr>
    </w:lvl>
    <w:lvl w:ilvl="4" w:tplc="EF02C774">
      <w:numFmt w:val="bullet"/>
      <w:lvlText w:val="•"/>
      <w:lvlJc w:val="left"/>
      <w:pPr>
        <w:ind w:left="3794" w:hanging="720"/>
      </w:pPr>
      <w:rPr>
        <w:rFonts w:hint="default"/>
        <w:lang w:val="en-US" w:eastAsia="en-US" w:bidi="ar-SA"/>
      </w:rPr>
    </w:lvl>
    <w:lvl w:ilvl="5" w:tplc="54665E94">
      <w:numFmt w:val="bullet"/>
      <w:lvlText w:val="•"/>
      <w:lvlJc w:val="left"/>
      <w:pPr>
        <w:ind w:left="4713" w:hanging="720"/>
      </w:pPr>
      <w:rPr>
        <w:rFonts w:hint="default"/>
        <w:lang w:val="en-US" w:eastAsia="en-US" w:bidi="ar-SA"/>
      </w:rPr>
    </w:lvl>
    <w:lvl w:ilvl="6" w:tplc="C2A485EC">
      <w:numFmt w:val="bullet"/>
      <w:lvlText w:val="•"/>
      <w:lvlJc w:val="left"/>
      <w:pPr>
        <w:ind w:left="5631" w:hanging="720"/>
      </w:pPr>
      <w:rPr>
        <w:rFonts w:hint="default"/>
        <w:lang w:val="en-US" w:eastAsia="en-US" w:bidi="ar-SA"/>
      </w:rPr>
    </w:lvl>
    <w:lvl w:ilvl="7" w:tplc="102841EE">
      <w:numFmt w:val="bullet"/>
      <w:lvlText w:val="•"/>
      <w:lvlJc w:val="left"/>
      <w:pPr>
        <w:ind w:left="6550" w:hanging="720"/>
      </w:pPr>
      <w:rPr>
        <w:rFonts w:hint="default"/>
        <w:lang w:val="en-US" w:eastAsia="en-US" w:bidi="ar-SA"/>
      </w:rPr>
    </w:lvl>
    <w:lvl w:ilvl="8" w:tplc="AAD07508">
      <w:numFmt w:val="bullet"/>
      <w:lvlText w:val="•"/>
      <w:lvlJc w:val="left"/>
      <w:pPr>
        <w:ind w:left="7469" w:hanging="720"/>
      </w:pPr>
      <w:rPr>
        <w:rFonts w:hint="default"/>
        <w:lang w:val="en-US" w:eastAsia="en-US" w:bidi="ar-SA"/>
      </w:rPr>
    </w:lvl>
  </w:abstractNum>
  <w:num w:numId="1">
    <w:abstractNumId w:val="4"/>
  </w:num>
  <w:num w:numId="2">
    <w:abstractNumId w:val="2"/>
  </w:num>
  <w:num w:numId="3">
    <w:abstractNumId w:val="9"/>
  </w:num>
  <w:num w:numId="4">
    <w:abstractNumId w:val="1"/>
  </w:num>
  <w:num w:numId="5">
    <w:abstractNumId w:val="6"/>
  </w:num>
  <w:num w:numId="6">
    <w:abstractNumId w:val="3"/>
  </w:num>
  <w:num w:numId="7">
    <w:abstractNumId w:val="5"/>
  </w:num>
  <w:num w:numId="8">
    <w:abstractNumId w:val="0"/>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evenAndOddHeaders/>
  <w:drawingGridHorizontalSpacing w:val="110"/>
  <w:displayHorizontalDrawingGridEvery w:val="2"/>
  <w:characterSpacingControl w:val="doNotCompress"/>
  <w:hdrShapeDefaults>
    <o:shapedefaults v:ext="edit" spidmax="2076"/>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8A4B34"/>
    <w:rsid w:val="00130D70"/>
    <w:rsid w:val="00313ACC"/>
    <w:rsid w:val="00405840"/>
    <w:rsid w:val="004B483F"/>
    <w:rsid w:val="005A333E"/>
    <w:rsid w:val="008A4B34"/>
    <w:rsid w:val="00931A60"/>
    <w:rsid w:val="00A808B1"/>
    <w:rsid w:val="00B25169"/>
    <w:rsid w:val="00C45226"/>
    <w:rsid w:val="00D538A9"/>
    <w:rsid w:val="00DE69DB"/>
    <w:rsid w:val="00FF50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76"/>
    <o:shapelayout v:ext="edit">
      <o:idmap v:ext="edit" data="2"/>
    </o:shapelayout>
  </w:shapeDefaults>
  <w:decimalSymbol w:val=","/>
  <w:listSeparator w:val=";"/>
  <w14:docId w14:val="589726ED"/>
  <w15:docId w15:val="{7A94468A-956E-461C-99FE-332DFACF1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16"/>
      <w:jc w:val="both"/>
      <w:outlineLvl w:val="0"/>
    </w:pPr>
    <w:rPr>
      <w:b/>
      <w:bCs/>
      <w:sz w:val="24"/>
      <w:szCs w:val="24"/>
    </w:rPr>
  </w:style>
  <w:style w:type="paragraph" w:styleId="Heading2">
    <w:name w:val="heading 2"/>
    <w:basedOn w:val="Normal"/>
    <w:uiPriority w:val="9"/>
    <w:unhideWhenUsed/>
    <w:qFormat/>
    <w:pPr>
      <w:ind w:left="116" w:hanging="722"/>
      <w:outlineLvl w:val="1"/>
    </w:pPr>
    <w:rPr>
      <w:b/>
      <w:bCs/>
      <w:sz w:val="20"/>
      <w:szCs w:val="20"/>
    </w:rPr>
  </w:style>
  <w:style w:type="paragraph" w:styleId="Heading3">
    <w:name w:val="heading 3"/>
    <w:basedOn w:val="Normal"/>
    <w:uiPriority w:val="9"/>
    <w:unhideWhenUsed/>
    <w:qFormat/>
    <w:pPr>
      <w:ind w:left="237"/>
      <w:jc w:val="both"/>
      <w:outlineLvl w:val="2"/>
    </w:pPr>
    <w:rPr>
      <w:b/>
      <w:bCs/>
      <w:i/>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46"/>
      <w:ind w:left="900"/>
    </w:pPr>
    <w:rPr>
      <w:sz w:val="40"/>
      <w:szCs w:val="40"/>
    </w:rPr>
  </w:style>
  <w:style w:type="paragraph" w:styleId="ListParagraph">
    <w:name w:val="List Paragraph"/>
    <w:basedOn w:val="Normal"/>
    <w:uiPriority w:val="1"/>
    <w:qFormat/>
    <w:pPr>
      <w:ind w:left="116"/>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B483F"/>
    <w:pPr>
      <w:tabs>
        <w:tab w:val="center" w:pos="4513"/>
        <w:tab w:val="right" w:pos="9026"/>
      </w:tabs>
    </w:pPr>
  </w:style>
  <w:style w:type="character" w:customStyle="1" w:styleId="HeaderChar">
    <w:name w:val="Header Char"/>
    <w:basedOn w:val="DefaultParagraphFont"/>
    <w:link w:val="Header"/>
    <w:uiPriority w:val="99"/>
    <w:rsid w:val="004B483F"/>
    <w:rPr>
      <w:rFonts w:ascii="Arial" w:eastAsia="Arial" w:hAnsi="Arial" w:cs="Arial"/>
    </w:rPr>
  </w:style>
  <w:style w:type="paragraph" w:styleId="Footer">
    <w:name w:val="footer"/>
    <w:basedOn w:val="Normal"/>
    <w:link w:val="FooterChar"/>
    <w:uiPriority w:val="99"/>
    <w:unhideWhenUsed/>
    <w:rsid w:val="004B483F"/>
    <w:pPr>
      <w:tabs>
        <w:tab w:val="center" w:pos="4513"/>
        <w:tab w:val="right" w:pos="9026"/>
      </w:tabs>
    </w:pPr>
  </w:style>
  <w:style w:type="character" w:customStyle="1" w:styleId="FooterChar">
    <w:name w:val="Footer Char"/>
    <w:basedOn w:val="DefaultParagraphFont"/>
    <w:link w:val="Footer"/>
    <w:uiPriority w:val="99"/>
    <w:rsid w:val="004B483F"/>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legalinstruments.oecd.org/" TargetMode="External"/><Relationship Id="rId18" Type="http://schemas.openxmlformats.org/officeDocument/2006/relationships/hyperlink" Target="http://www.oecd.org/water/" TargetMode="Externa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yperlink" Target="https://www.oecd.org/environment/toolkit-for-water-policies-and-governance-ed1a7936-en.htm" TargetMode="External"/><Relationship Id="rId7" Type="http://schemas.openxmlformats.org/officeDocument/2006/relationships/webSettings" Target="webSettings.xml"/><Relationship Id="rId12" Type="http://schemas.openxmlformats.org/officeDocument/2006/relationships/hyperlink" Target="http://legalinstruments.oecd.org/" TargetMode="External"/><Relationship Id="rId17" Type="http://schemas.openxmlformats.org/officeDocument/2006/relationships/hyperlink" Target="http://www.oecd.org/water" TargetMode="Externa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www.oecd.org/environment/toolkit-for-water-policies-and-governance-ed1a7936-en.ht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5.xm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mailto:Xavier.LEFLAIVE@oecd.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oecd.org/env/indicators-modelling-outlooks/oecd-environmental-outlook-1999155x.htm" TargetMode="External"/><Relationship Id="rId22" Type="http://schemas.openxmlformats.org/officeDocument/2006/relationships/header" Target="head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FE37CB227E4C7849B4B894363CED3B18" ma:contentTypeVersion="12" ma:contentTypeDescription="Създаване на нов документ" ma:contentTypeScope="" ma:versionID="fe7b4f7cbc69a318508ed03415694e09">
  <xsd:schema xmlns:xsd="http://www.w3.org/2001/XMLSchema" xmlns:xs="http://www.w3.org/2001/XMLSchema" xmlns:p="http://schemas.microsoft.com/office/2006/metadata/properties" xmlns:ns2="1c2649c6-0f6a-432e-8083-5d1192364e9a" xmlns:ns3="5adc7b8d-49ae-46df-b2d3-cd95f9860e28" targetNamespace="http://schemas.microsoft.com/office/2006/metadata/properties" ma:root="true" ma:fieldsID="a31f7c45ecc6cfeccb12657c7b0545d3" ns2:_="" ns3:_="">
    <xsd:import namespace="1c2649c6-0f6a-432e-8083-5d1192364e9a"/>
    <xsd:import namespace="5adc7b8d-49ae-46df-b2d3-cd95f9860e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649c6-0f6a-432e-8083-5d1192364e9a" elementFormDefault="qualified">
    <xsd:import namespace="http://schemas.microsoft.com/office/2006/documentManagement/types"/>
    <xsd:import namespace="http://schemas.microsoft.com/office/infopath/2007/PartnerControls"/>
    <xsd:element name="SharedWithUsers" ma:index="8" nillable="true" ma:displayName="Споделено 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поделени с подробности"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dc7b8d-49ae-46df-b2d3-cd95f9860e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ъдържание"/>
        <xsd:element ref="dc:title" minOccurs="0" maxOccurs="1" ma:index="4" ma:displayName="Заглав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1C30CD-3F0F-4845-B3BE-73ADC89D24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981D13-BE2B-45BB-8216-8478B2C02A32}">
  <ds:schemaRefs>
    <ds:schemaRef ds:uri="http://schemas.microsoft.com/sharepoint/v3/contenttype/forms"/>
  </ds:schemaRefs>
</ds:datastoreItem>
</file>

<file path=customXml/itemProps3.xml><?xml version="1.0" encoding="utf-8"?>
<ds:datastoreItem xmlns:ds="http://schemas.openxmlformats.org/officeDocument/2006/customXml" ds:itemID="{485BFC66-A55D-4667-B918-0F8DBBD60DA7}"/>
</file>

<file path=docProps/app.xml><?xml version="1.0" encoding="utf-8"?>
<Properties xmlns="http://schemas.openxmlformats.org/officeDocument/2006/extended-properties" xmlns:vt="http://schemas.openxmlformats.org/officeDocument/2006/docPropsVTypes">
  <Template>Normal.dotm</Template>
  <TotalTime>16</TotalTime>
  <Pages>14</Pages>
  <Words>6652</Words>
  <Characters>37923</Characters>
  <Application>Microsoft Office Word</Application>
  <DocSecurity>0</DocSecurity>
  <Lines>316</Lines>
  <Paragraphs>88</Paragraphs>
  <ScaleCrop>false</ScaleCrop>
  <Company/>
  <LinksUpToDate>false</LinksUpToDate>
  <CharactersWithSpaces>44487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Kemal ERDOGAN</dc:creator>
  <cp:lastModifiedBy>Kristina T</cp:lastModifiedBy>
  <cp:revision>12</cp:revision>
  <dcterms:created xsi:type="dcterms:W3CDTF">2022-01-19T10:35:00Z</dcterms:created>
  <dcterms:modified xsi:type="dcterms:W3CDTF">2022-01-31T10:02:00Z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2021-11-23T00:00:00Z</vt:filetime>
  </property>
  <property fmtid="{D5CDD505-2E9C-101B-9397-08002B2CF9AE}" pid="3" name="Creator">
    <vt:lpwstr>Microsoft® Word 2016</vt:lpwstr>
  </property>
  <property fmtid="{D5CDD505-2E9C-101B-9397-08002B2CF9AE}" pid="4" name="LastSaved">
    <vt:filetime>2022-01-19T00:00:00Z</vt:filetime>
  </property>
  <property fmtid="{D5CDD505-2E9C-101B-9397-08002B2CF9AE}" pid="5" name="ContentTypeId">
    <vt:lpwstr>0x010100FE37CB227E4C7849B4B894363CED3B18</vt:lpwstr>
  </property>
</Properties>
</file>